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Photos of participants during the consultative meetings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303520" cy="359664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303520" cy="359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Photo 1: Meeting held at Sapu, Central River Region, for farmers representatives</w:t>
      </w:r>
    </w:p>
    <w:p>
      <w:pPr>
        <w:widowControl w:val="0"/>
        <w:spacing w:after="719" w:line="1" w:lineRule="exact"/>
      </w:pP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4693920" cy="290195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693920" cy="290195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108575" cy="341376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5108575" cy="3413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Photo 3: Group Discussions during the consultative meeting</w:t>
      </w:r>
    </w:p>
    <w:p>
      <w:pPr>
        <w:widowControl w:val="0"/>
        <w:spacing w:after="1219" w:line="1" w:lineRule="exact"/>
      </w:pP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4663440" cy="306006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4663440" cy="30600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erReference w:type="default" r:id="rId13"/>
      <w:footerReference w:type="even" r:id="rId14"/>
      <w:footnotePr>
        <w:pos w:val="pageBottom"/>
        <w:numFmt w:val="decimal"/>
        <w:numRestart w:val="continuous"/>
      </w:footnotePr>
      <w:pgSz w:w="12240" w:h="15840"/>
      <w:pgMar w:top="1477" w:right="1801" w:bottom="2187" w:left="2077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1340485</wp:posOffset>
              </wp:positionH>
              <wp:positionV relativeFrom="page">
                <wp:posOffset>8735060</wp:posOffset>
              </wp:positionV>
              <wp:extent cx="5334000" cy="12192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3400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Photo 3: A female farmer representative expressing her views during the consultative meeting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05.55pt;margin-top:687.80000000000007pt;width:420.pt;height:9.5999999999999996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Photo 3: A female farmer representative expressing her views during the consultative meeting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1427480</wp:posOffset>
              </wp:positionH>
              <wp:positionV relativeFrom="page">
                <wp:posOffset>8733155</wp:posOffset>
              </wp:positionV>
              <wp:extent cx="3157855" cy="11874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57855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Photo 4: Group meeting during the consultative process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112.40000000000001pt;margin-top:687.64999999999998pt;width:248.65000000000001pt;height:9.34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Photo 4: Group meeting during the consultative process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6">
    <w:name w:val="Header or footer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5">
    <w:name w:val="Header or footer (2)"/>
    <w:basedOn w:val="Normal"/>
    <w:link w:val="CharStyle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User</dc:creator>
  <cp:keywords/>
</cp:coreProperties>
</file>