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rial" w:hAnsi="Arial"/>
          <w:b/>
          <w:color w:val="102B4E"/>
          <w:sz w:val="54"/>
        </w:rPr>
        <w:t>THE GLOBAL BUSINESS SUMMIT</w:t>
      </w:r>
    </w:p>
    <w:p>
      <w:pPr>
        <w:jc w:val="center"/>
      </w:pPr>
      <w:r>
        <w:rPr>
          <w:b/>
          <w:color w:val="B8872D"/>
          <w:sz w:val="46"/>
        </w:rPr>
        <w:t>GBS 2027</w:t>
      </w:r>
    </w:p>
    <w:p>
      <w:pPr>
        <w:jc w:val="center"/>
      </w:pPr>
      <w:r>
        <w:rPr>
          <w:b/>
          <w:color w:val="0B594B"/>
          <w:sz w:val="26"/>
        </w:rPr>
        <w:t>WEBSITE CONTENT &amp; REQUIREMENTS DOCUMENT</w:t>
      </w:r>
    </w:p>
    <w:p>
      <w:pPr>
        <w:spacing w:before="400"/>
        <w:jc w:val="center"/>
      </w:pPr>
      <w:r>
        <w:rPr>
          <w:b/>
        </w:rPr>
        <w:t>Hosted by FKI Holdings</w:t>
      </w:r>
    </w:p>
    <w:p>
      <w:pPr>
        <w:jc w:val="center"/>
      </w:pPr>
      <w:r>
        <w:t>26–27 May 2027  |  Mövenpick Ambassador Hotel Accra, Ghana</w:t>
      </w:r>
    </w:p>
    <w:p>
      <w:pPr>
        <w:spacing w:before="500"/>
        <w:jc w:val="center"/>
      </w:pPr>
      <w:r>
        <w:rPr>
          <w:b/>
          <w:color w:val="B8872D"/>
        </w:rPr>
        <w:t>Theme</w:t>
      </w:r>
    </w:p>
    <w:p>
      <w:pPr>
        <w:ind w:left="720" w:right="720"/>
        <w:jc w:val="center"/>
      </w:pPr>
      <w:r>
        <w:rPr>
          <w:i/>
          <w:sz w:val="24"/>
        </w:rPr>
        <w:t>Bridging the Global Investment Gap: Unlocking Capital, Expanding Opportunities and Accelerating Economic Growth</w:t>
      </w:r>
    </w:p>
    <w:p/>
    <w:p>
      <w:pPr>
        <w:jc w:val="center"/>
      </w:pPr>
      <w:r>
        <w:rPr>
          <w:color w:val="646E78"/>
          <w:sz w:val="20"/>
        </w:rPr>
        <w:t>Prepared for the website developer</w:t>
      </w:r>
    </w:p>
    <w:p>
      <w:r>
        <w:br w:type="page"/>
      </w:r>
    </w:p>
    <w:p>
      <w:pPr>
        <w:pStyle w:val="Heading1"/>
      </w:pPr>
      <w:r>
        <w:t>1. Project Overview</w:t>
      </w:r>
    </w:p>
    <w:p>
      <w:r>
        <w:t>Develop a professional, responsive website dedicated exclusively to The Global Business Summit (GBS 2027). The website is intended to introduce the summit, communicate event information, attract delegates and sponsors, showcase partners, and collect delegate registration enquiries. The site should not function as a general website for FKI Holdings.</w:t>
      </w:r>
    </w:p>
    <w:p>
      <w:pPr>
        <w:pStyle w:val="Heading1"/>
      </w:pPr>
      <w:r>
        <w:t>2. Confirmed Event Information</w:t>
      </w:r>
    </w:p>
    <w:tbl>
      <w:tblPr>
        <w:tblStyle w:val="TableGrid"/>
        <w:tblW w:type="auto" w:w="0"/>
        <w:tblLook w:firstColumn="1" w:firstRow="1" w:lastColumn="0" w:lastRow="0" w:noHBand="0" w:noVBand="1" w:val="04A0"/>
      </w:tblPr>
      <w:tblGrid>
        <w:gridCol w:w="4968"/>
        <w:gridCol w:w="4968"/>
      </w:tblGrid>
      <w:tr>
        <w:tc>
          <w:tcPr>
            <w:tcW w:type="dxa" w:w="4968"/>
            <w:vAlign w:val="center"/>
            <w:shd w:fill="102B4E"/>
          </w:tcPr>
          <w:p>
            <w:r/>
            <w:r>
              <w:rPr>
                <w:rFonts w:ascii="Arial" w:hAnsi="Arial"/>
                <w:b/>
                <w:color w:val="FFFFFF"/>
                <w:sz w:val="18"/>
              </w:rPr>
              <w:t>Event</w:t>
            </w:r>
          </w:p>
        </w:tc>
        <w:tc>
          <w:tcPr>
            <w:tcW w:type="dxa" w:w="4968"/>
            <w:vAlign w:val="center"/>
          </w:tcPr>
          <w:p>
            <w:r/>
            <w:r>
              <w:rPr>
                <w:rFonts w:ascii="Arial" w:hAnsi="Arial"/>
                <w:b w:val="0"/>
                <w:color w:val="23303E"/>
                <w:sz w:val="18"/>
              </w:rPr>
              <w:t>The Global Business Summit (GBS 2027)</w:t>
            </w:r>
          </w:p>
        </w:tc>
      </w:tr>
      <w:tr>
        <w:tc>
          <w:tcPr>
            <w:tcW w:type="dxa" w:w="4968"/>
            <w:vAlign w:val="center"/>
            <w:shd w:fill="102B4E"/>
          </w:tcPr>
          <w:p>
            <w:r/>
            <w:r>
              <w:rPr>
                <w:rFonts w:ascii="Arial" w:hAnsi="Arial"/>
                <w:b/>
                <w:color w:val="FFFFFF"/>
                <w:sz w:val="18"/>
              </w:rPr>
              <w:t>Host</w:t>
            </w:r>
          </w:p>
        </w:tc>
        <w:tc>
          <w:tcPr>
            <w:tcW w:type="dxa" w:w="4968"/>
            <w:vAlign w:val="center"/>
            <w:shd w:fill="F2F5F8"/>
          </w:tcPr>
          <w:p>
            <w:r/>
            <w:r>
              <w:rPr>
                <w:rFonts w:ascii="Arial" w:hAnsi="Arial"/>
                <w:b w:val="0"/>
                <w:color w:val="23303E"/>
                <w:sz w:val="18"/>
              </w:rPr>
              <w:t>FKI Holdings</w:t>
            </w:r>
          </w:p>
        </w:tc>
      </w:tr>
      <w:tr>
        <w:tc>
          <w:tcPr>
            <w:tcW w:type="dxa" w:w="4968"/>
            <w:vAlign w:val="center"/>
            <w:shd w:fill="102B4E"/>
          </w:tcPr>
          <w:p>
            <w:r/>
            <w:r>
              <w:rPr>
                <w:rFonts w:ascii="Arial" w:hAnsi="Arial"/>
                <w:b/>
                <w:color w:val="FFFFFF"/>
                <w:sz w:val="18"/>
              </w:rPr>
              <w:t>Dates</w:t>
            </w:r>
          </w:p>
        </w:tc>
        <w:tc>
          <w:tcPr>
            <w:tcW w:type="dxa" w:w="4968"/>
            <w:vAlign w:val="center"/>
          </w:tcPr>
          <w:p>
            <w:r/>
            <w:r>
              <w:rPr>
                <w:rFonts w:ascii="Arial" w:hAnsi="Arial"/>
                <w:b w:val="0"/>
                <w:color w:val="23303E"/>
                <w:sz w:val="18"/>
              </w:rPr>
              <w:t>26–27 May 2027</w:t>
            </w:r>
          </w:p>
        </w:tc>
      </w:tr>
      <w:tr>
        <w:tc>
          <w:tcPr>
            <w:tcW w:type="dxa" w:w="4968"/>
            <w:vAlign w:val="center"/>
            <w:shd w:fill="102B4E"/>
          </w:tcPr>
          <w:p>
            <w:r/>
            <w:r>
              <w:rPr>
                <w:rFonts w:ascii="Arial" w:hAnsi="Arial"/>
                <w:b/>
                <w:color w:val="FFFFFF"/>
                <w:sz w:val="18"/>
              </w:rPr>
              <w:t>Venue</w:t>
            </w:r>
          </w:p>
        </w:tc>
        <w:tc>
          <w:tcPr>
            <w:tcW w:type="dxa" w:w="4968"/>
            <w:vAlign w:val="center"/>
            <w:shd w:fill="F2F5F8"/>
          </w:tcPr>
          <w:p>
            <w:r/>
            <w:r>
              <w:rPr>
                <w:rFonts w:ascii="Arial" w:hAnsi="Arial"/>
                <w:b w:val="0"/>
                <w:color w:val="23303E"/>
                <w:sz w:val="18"/>
              </w:rPr>
              <w:t>Mövenpick Ambassador Hotel Accra, Ghana</w:t>
            </w:r>
          </w:p>
        </w:tc>
      </w:tr>
      <w:tr>
        <w:tc>
          <w:tcPr>
            <w:tcW w:type="dxa" w:w="4968"/>
            <w:vAlign w:val="center"/>
            <w:shd w:fill="102B4E"/>
          </w:tcPr>
          <w:p>
            <w:r/>
            <w:r>
              <w:rPr>
                <w:rFonts w:ascii="Arial" w:hAnsi="Arial"/>
                <w:b/>
                <w:color w:val="FFFFFF"/>
                <w:sz w:val="18"/>
              </w:rPr>
              <w:t>Theme</w:t>
            </w:r>
          </w:p>
        </w:tc>
        <w:tc>
          <w:tcPr>
            <w:tcW w:type="dxa" w:w="4968"/>
            <w:vAlign w:val="center"/>
          </w:tcPr>
          <w:p>
            <w:r/>
            <w:r>
              <w:rPr>
                <w:rFonts w:ascii="Arial" w:hAnsi="Arial"/>
                <w:b w:val="0"/>
                <w:color w:val="23303E"/>
                <w:sz w:val="18"/>
              </w:rPr>
              <w:t>Bridging the Global Investment Gap: Unlocking Capital, Expanding Opportunities and Accelerating Economic Growth</w:t>
            </w:r>
          </w:p>
        </w:tc>
      </w:tr>
    </w:tbl>
    <w:p>
      <w:pPr>
        <w:pStyle w:val="Heading1"/>
      </w:pPr>
      <w:r>
        <w:t>3. Purpose and Objectives</w:t>
      </w:r>
    </w:p>
    <w:p>
      <w:pPr>
        <w:pStyle w:val="ListBullet"/>
      </w:pPr>
      <w:r>
        <w:t>Present GBS 2027 as a professional business and investment summit.</w:t>
      </w:r>
    </w:p>
    <w:p>
      <w:pPr>
        <w:pStyle w:val="ListBullet"/>
      </w:pPr>
      <w:r>
        <w:t>Explain the summit theme, purpose, and key event details.</w:t>
      </w:r>
    </w:p>
    <w:p>
      <w:pPr>
        <w:pStyle w:val="ListBullet"/>
      </w:pPr>
      <w:r>
        <w:t>Allow prospective delegates to submit a registration form before receiving payment instructions.</w:t>
      </w:r>
    </w:p>
    <w:p>
      <w:pPr>
        <w:pStyle w:val="ListBullet"/>
      </w:pPr>
      <w:r>
        <w:t>Present sponsorship tiers and provide a sponsorship enquiry form.</w:t>
      </w:r>
    </w:p>
    <w:p>
      <w:pPr>
        <w:pStyle w:val="ListBullet"/>
      </w:pPr>
      <w:r>
        <w:t>Introduce the summit’s current partners.</w:t>
      </w:r>
    </w:p>
    <w:p>
      <w:pPr>
        <w:pStyle w:val="ListBullet"/>
      </w:pPr>
      <w:r>
        <w:t>Publish speaker profiles, programme details, announcements, and updates as they become available.</w:t>
      </w:r>
    </w:p>
    <w:p>
      <w:pPr>
        <w:pStyle w:val="Heading1"/>
      </w:pPr>
      <w:r>
        <w:t>4. Proposed Website Structure</w:t>
      </w:r>
    </w:p>
    <w:p>
      <w:pPr>
        <w:pStyle w:val="Heading2"/>
      </w:pPr>
      <w:r>
        <w:t>Home</w:t>
      </w:r>
    </w:p>
    <w:p>
      <w:r>
        <w:t>Event title, theme, dates, venue, short introduction, key calls to action (Register Your Interest / Register as a Delegate; Become a Sponsor), partner logos, and latest announcements.</w:t>
      </w:r>
    </w:p>
    <w:p>
      <w:pPr>
        <w:pStyle w:val="Heading2"/>
      </w:pPr>
      <w:r>
        <w:t>About the Summit</w:t>
      </w:r>
    </w:p>
    <w:p>
      <w:r>
        <w:t>Purpose, objectives, audience, and the importance of the theme. Final copy to be approved by the organiser.</w:t>
      </w:r>
    </w:p>
    <w:p>
      <w:pPr>
        <w:pStyle w:val="Heading2"/>
      </w:pPr>
      <w:r>
        <w:t>Delegate Packages &amp; Registration</w:t>
      </w:r>
    </w:p>
    <w:p>
      <w:r>
        <w:t>Package prices and benefits, registration form, group-registration instructions, and notice that payment instructions are provided after registration.</w:t>
      </w:r>
    </w:p>
    <w:p>
      <w:pPr>
        <w:pStyle w:val="Heading2"/>
      </w:pPr>
      <w:r>
        <w:t>Sponsorship</w:t>
      </w:r>
    </w:p>
    <w:p>
      <w:r>
        <w:t>Sponsorship levels and prices, approved benefits for each level, and sponsorship enquiry form.</w:t>
      </w:r>
    </w:p>
    <w:p>
      <w:pPr>
        <w:pStyle w:val="Heading2"/>
      </w:pPr>
      <w:r>
        <w:t>Speakers</w:t>
      </w:r>
    </w:p>
    <w:p>
      <w:r>
        <w:t>Speaker names, titles, biographies, photographs, and affiliations. Display only confirmed information.</w:t>
      </w:r>
    </w:p>
    <w:p>
      <w:pPr>
        <w:pStyle w:val="Heading2"/>
      </w:pPr>
      <w:r>
        <w:t>Programme</w:t>
      </w:r>
    </w:p>
    <w:p>
      <w:r>
        <w:t>Two-day schedule for 26–27 May 2027. Keep editable until the programme is finalised.</w:t>
      </w:r>
    </w:p>
    <w:p>
      <w:pPr>
        <w:pStyle w:val="Heading2"/>
      </w:pPr>
      <w:r>
        <w:t>Partners</w:t>
      </w:r>
    </w:p>
    <w:p>
      <w:r>
        <w:t>Display current partners: FKI Konnect, FKI Construction, FKI Biz Consult, and FKI Security.</w:t>
      </w:r>
    </w:p>
    <w:p>
      <w:pPr>
        <w:pStyle w:val="Heading2"/>
      </w:pPr>
      <w:r>
        <w:t>News &amp; Updates</w:t>
      </w:r>
    </w:p>
    <w:p>
      <w:r>
        <w:t>Official announcements, registration updates, speaker announcements, and summit news.</w:t>
      </w:r>
    </w:p>
    <w:p>
      <w:pPr>
        <w:pStyle w:val="Heading2"/>
      </w:pPr>
      <w:r>
        <w:t>Contact</w:t>
      </w:r>
    </w:p>
    <w:p>
      <w:r>
        <w:t>Approved email address, telephone number, and an enquiry form.</w:t>
      </w:r>
    </w:p>
    <w:p>
      <w:pPr>
        <w:pStyle w:val="Heading1"/>
      </w:pPr>
      <w:r>
        <w:t>5. Delegate Packages and Benefits</w:t>
      </w:r>
    </w:p>
    <w:p>
      <w:r>
        <w:t>The following prices and benefits are based on information supplied by the organiser. Items marked for confirmation must be approved before publication.</w:t>
      </w:r>
    </w:p>
    <w:p>
      <w:pPr>
        <w:pStyle w:val="Heading2"/>
      </w:pPr>
      <w:r>
        <w:t>Start-up Package — GH₵2,985 per person</w:t>
      </w:r>
    </w:p>
    <w:p>
      <w:pPr>
        <w:pStyle w:val="ListBullet"/>
      </w:pPr>
      <w:r>
        <w:t>Proposed: access to the two-day conference.</w:t>
      </w:r>
    </w:p>
    <w:p>
      <w:pPr>
        <w:pStyle w:val="ListBullet"/>
      </w:pPr>
      <w:r>
        <w:t>Proposed: access to all panel discussions.</w:t>
      </w:r>
    </w:p>
    <w:p>
      <w:pPr>
        <w:pStyle w:val="ListBullet"/>
      </w:pPr>
      <w:r>
        <w:t>Proposed: breakfast and lunch during the conference.</w:t>
      </w:r>
    </w:p>
    <w:p>
      <w:pPr>
        <w:pStyle w:val="ListBullet"/>
      </w:pPr>
      <w:r>
        <w:t>Proposed: opportunities to promote a business.</w:t>
      </w:r>
    </w:p>
    <w:p>
      <w:pPr>
        <w:pStyle w:val="ListBullet"/>
      </w:pPr>
      <w:r>
        <w:t>Proposed: networking with global investors and other business leaders.</w:t>
      </w:r>
    </w:p>
    <w:p>
      <w:pPr>
        <w:pStyle w:val="Heading2"/>
      </w:pPr>
      <w:r>
        <w:t>Individual Delegate — GH₵3,600 per person</w:t>
      </w:r>
    </w:p>
    <w:p>
      <w:pPr>
        <w:pStyle w:val="ListBullet"/>
      </w:pPr>
      <w:r>
        <w:t>Access to the two-day conference.</w:t>
      </w:r>
    </w:p>
    <w:p>
      <w:pPr>
        <w:pStyle w:val="ListBullet"/>
      </w:pPr>
      <w:r>
        <w:t>Access to all panel discussions.</w:t>
      </w:r>
    </w:p>
    <w:p>
      <w:pPr>
        <w:pStyle w:val="ListBullet"/>
      </w:pPr>
      <w:r>
        <w:t>Breakfast and lunch during the conference.</w:t>
      </w:r>
    </w:p>
    <w:p>
      <w:pPr>
        <w:pStyle w:val="ListBullet"/>
      </w:pPr>
      <w:r>
        <w:t>Opportunities to promote businesses.</w:t>
      </w:r>
    </w:p>
    <w:p>
      <w:pPr>
        <w:pStyle w:val="ListBullet"/>
      </w:pPr>
      <w:r>
        <w:t>Networking with global investors and other business leaders.</w:t>
      </w:r>
    </w:p>
    <w:p>
      <w:pPr>
        <w:pStyle w:val="ListBullet"/>
      </w:pPr>
      <w:r>
        <w:t>50% discount on membership in the Global Business Executive Group (confirm eligibility and terms).</w:t>
      </w:r>
    </w:p>
    <w:p>
      <w:pPr>
        <w:pStyle w:val="Heading2"/>
      </w:pPr>
      <w:r>
        <w:t>Group Delegate — GH₵3,200 per person for three delegates; GH₵9,600 total</w:t>
      </w:r>
    </w:p>
    <w:p>
      <w:pPr>
        <w:pStyle w:val="ListBullet"/>
      </w:pPr>
      <w:r>
        <w:t>Three delegates must register together.</w:t>
      </w:r>
    </w:p>
    <w:p>
      <w:pPr>
        <w:pStyle w:val="ListBullet"/>
      </w:pPr>
      <w:r>
        <w:t>Core benefits are the same as the individual delegate package, subject to organiser confirmation.</w:t>
      </w:r>
    </w:p>
    <w:p>
      <w:pPr>
        <w:pStyle w:val="ListBullet"/>
      </w:pPr>
      <w:r>
        <w:t>Saving of GH₵400 per person, or GH₵1,200 for three delegates, compared with the individual rate.</w:t>
      </w:r>
    </w:p>
    <w:p>
      <w:pPr>
        <w:pStyle w:val="Heading2"/>
      </w:pPr>
      <w:r>
        <w:t>VIP Package — GH₵8,995 per person</w:t>
      </w:r>
    </w:p>
    <w:p>
      <w:pPr>
        <w:pStyle w:val="ListBullet"/>
      </w:pPr>
      <w:r>
        <w:t>Proposed: access to the two-day conference.</w:t>
      </w:r>
    </w:p>
    <w:p>
      <w:pPr>
        <w:pStyle w:val="ListBullet"/>
      </w:pPr>
      <w:r>
        <w:t>Proposed: access to all panel discussions.</w:t>
      </w:r>
    </w:p>
    <w:p>
      <w:pPr>
        <w:pStyle w:val="ListBullet"/>
      </w:pPr>
      <w:r>
        <w:t>Proposed: breakfast and lunch during the conference.</w:t>
      </w:r>
    </w:p>
    <w:p>
      <w:pPr>
        <w:pStyle w:val="ListBullet"/>
      </w:pPr>
      <w:r>
        <w:t>Proposed: opportunities to promote businesses.</w:t>
      </w:r>
    </w:p>
    <w:p>
      <w:pPr>
        <w:pStyle w:val="ListBullet"/>
      </w:pPr>
      <w:r>
        <w:t>Proposed: networking with global investors and other business leaders.</w:t>
      </w:r>
    </w:p>
    <w:p>
      <w:pPr>
        <w:pStyle w:val="ListBullet"/>
      </w:pPr>
      <w:r>
        <w:t>10% discount on membership in the Global Business Executive Group (confirm terms).</w:t>
      </w:r>
    </w:p>
    <w:p>
      <w:pPr>
        <w:pStyle w:val="Heading2"/>
      </w:pPr>
      <w:r>
        <w:t>VVIP Package — GH₵13,799 per person</w:t>
      </w:r>
    </w:p>
    <w:p>
      <w:pPr>
        <w:pStyle w:val="ListBullet"/>
      </w:pPr>
      <w:r>
        <w:t>Access to the two-day conference.</w:t>
      </w:r>
    </w:p>
    <w:p>
      <w:pPr>
        <w:pStyle w:val="ListBullet"/>
      </w:pPr>
      <w:r>
        <w:t>Access to all panel discussions (confirm).</w:t>
      </w:r>
    </w:p>
    <w:p>
      <w:pPr>
        <w:pStyle w:val="ListBullet"/>
      </w:pPr>
      <w:r>
        <w:t>Breakfast and lunch during the conference (confirm).</w:t>
      </w:r>
    </w:p>
    <w:p>
      <w:pPr>
        <w:pStyle w:val="ListBullet"/>
      </w:pPr>
      <w:r>
        <w:t>Opportunities to promote businesses (confirm).</w:t>
      </w:r>
    </w:p>
    <w:p>
      <w:pPr>
        <w:pStyle w:val="ListBullet"/>
      </w:pPr>
      <w:r>
        <w:t>Access to the Global Business Executive Network platform.</w:t>
      </w:r>
    </w:p>
    <w:p>
      <w:pPr>
        <w:pStyle w:val="ListBullet"/>
      </w:pPr>
      <w:r>
        <w:t>Opportunity to pitch a business idea.</w:t>
      </w:r>
    </w:p>
    <w:p>
      <w:pPr>
        <w:pStyle w:val="Heading1"/>
      </w:pPr>
      <w:r>
        <w:t>6. Sponsorship Packages</w:t>
      </w:r>
    </w:p>
    <w:p>
      <w:r>
        <w:t>Display the following sponsorship levels and prices. Sponsorship benefits should be added only after approval by FKI Holdings.</w:t>
      </w:r>
    </w:p>
    <w:tbl>
      <w:tblPr>
        <w:tblStyle w:val="TableGrid"/>
        <w:tblW w:type="auto" w:w="0"/>
        <w:tblLook w:firstColumn="1" w:firstRow="1" w:lastColumn="0" w:lastRow="0" w:noHBand="0" w:noVBand="1" w:val="04A0"/>
      </w:tblPr>
      <w:tblGrid>
        <w:gridCol w:w="4968"/>
        <w:gridCol w:w="4968"/>
      </w:tblGrid>
      <w:tr>
        <w:tc>
          <w:tcPr>
            <w:tcW w:type="dxa" w:w="4968"/>
            <w:vAlign w:val="center"/>
            <w:shd w:fill="102B4E"/>
          </w:tcPr>
          <w:p>
            <w:r/>
            <w:r>
              <w:rPr>
                <w:rFonts w:ascii="Arial" w:hAnsi="Arial"/>
                <w:b/>
                <w:color w:val="FFFFFF"/>
                <w:sz w:val="18"/>
              </w:rPr>
              <w:t>Sponsorship Level</w:t>
            </w:r>
          </w:p>
        </w:tc>
        <w:tc>
          <w:tcPr>
            <w:tcW w:type="dxa" w:w="4968"/>
            <w:vAlign w:val="center"/>
            <w:shd w:fill="102B4E"/>
          </w:tcPr>
          <w:p>
            <w:r/>
            <w:r>
              <w:rPr>
                <w:rFonts w:ascii="Arial" w:hAnsi="Arial"/>
                <w:b/>
                <w:color w:val="FFFFFF"/>
                <w:sz w:val="18"/>
              </w:rPr>
              <w:t>Price</w:t>
            </w:r>
          </w:p>
        </w:tc>
      </w:tr>
      <w:tr>
        <w:tc>
          <w:tcPr>
            <w:tcW w:type="dxa" w:w="4968"/>
            <w:vAlign w:val="center"/>
          </w:tcPr>
          <w:p>
            <w:r/>
            <w:r>
              <w:rPr>
                <w:rFonts w:ascii="Arial" w:hAnsi="Arial"/>
                <w:b/>
                <w:color w:val="23303E"/>
                <w:sz w:val="18"/>
              </w:rPr>
              <w:t>Bronze</w:t>
            </w:r>
          </w:p>
        </w:tc>
        <w:tc>
          <w:tcPr>
            <w:tcW w:type="dxa" w:w="4968"/>
            <w:vAlign w:val="center"/>
          </w:tcPr>
          <w:p>
            <w:r/>
            <w:r>
              <w:rPr>
                <w:rFonts w:ascii="Arial" w:hAnsi="Arial"/>
                <w:b w:val="0"/>
                <w:color w:val="23303E"/>
                <w:sz w:val="18"/>
              </w:rPr>
              <w:t>GH₵25,000</w:t>
            </w:r>
          </w:p>
        </w:tc>
      </w:tr>
      <w:tr>
        <w:tc>
          <w:tcPr>
            <w:tcW w:type="dxa" w:w="4968"/>
            <w:vAlign w:val="center"/>
          </w:tcPr>
          <w:p>
            <w:r/>
            <w:r>
              <w:rPr>
                <w:rFonts w:ascii="Arial" w:hAnsi="Arial"/>
                <w:b/>
                <w:color w:val="23303E"/>
                <w:sz w:val="18"/>
              </w:rPr>
              <w:t>Silver</w:t>
            </w:r>
          </w:p>
        </w:tc>
        <w:tc>
          <w:tcPr>
            <w:tcW w:type="dxa" w:w="4968"/>
            <w:vAlign w:val="center"/>
          </w:tcPr>
          <w:p>
            <w:r/>
            <w:r>
              <w:rPr>
                <w:rFonts w:ascii="Arial" w:hAnsi="Arial"/>
                <w:b w:val="0"/>
                <w:color w:val="23303E"/>
                <w:sz w:val="18"/>
              </w:rPr>
              <w:t>GH₵35,000</w:t>
            </w:r>
          </w:p>
        </w:tc>
      </w:tr>
      <w:tr>
        <w:tc>
          <w:tcPr>
            <w:tcW w:type="dxa" w:w="4968"/>
            <w:vAlign w:val="center"/>
          </w:tcPr>
          <w:p>
            <w:r/>
            <w:r>
              <w:rPr>
                <w:rFonts w:ascii="Arial" w:hAnsi="Arial"/>
                <w:b/>
                <w:color w:val="23303E"/>
                <w:sz w:val="18"/>
              </w:rPr>
              <w:t>Gold</w:t>
            </w:r>
          </w:p>
        </w:tc>
        <w:tc>
          <w:tcPr>
            <w:tcW w:type="dxa" w:w="4968"/>
            <w:vAlign w:val="center"/>
          </w:tcPr>
          <w:p>
            <w:r/>
            <w:r>
              <w:rPr>
                <w:rFonts w:ascii="Arial" w:hAnsi="Arial"/>
                <w:b w:val="0"/>
                <w:color w:val="23303E"/>
                <w:sz w:val="18"/>
              </w:rPr>
              <w:t>GH₵50,000</w:t>
            </w:r>
          </w:p>
        </w:tc>
      </w:tr>
      <w:tr>
        <w:tc>
          <w:tcPr>
            <w:tcW w:type="dxa" w:w="4968"/>
            <w:vAlign w:val="center"/>
          </w:tcPr>
          <w:p>
            <w:r/>
            <w:r>
              <w:rPr>
                <w:rFonts w:ascii="Arial" w:hAnsi="Arial"/>
                <w:b/>
                <w:color w:val="23303E"/>
                <w:sz w:val="18"/>
              </w:rPr>
              <w:t>Platinum</w:t>
            </w:r>
          </w:p>
        </w:tc>
        <w:tc>
          <w:tcPr>
            <w:tcW w:type="dxa" w:w="4968"/>
            <w:vAlign w:val="center"/>
          </w:tcPr>
          <w:p>
            <w:r/>
            <w:r>
              <w:rPr>
                <w:rFonts w:ascii="Arial" w:hAnsi="Arial"/>
                <w:b w:val="0"/>
                <w:color w:val="23303E"/>
                <w:sz w:val="18"/>
              </w:rPr>
              <w:t>GH₵80,000</w:t>
            </w:r>
          </w:p>
        </w:tc>
      </w:tr>
      <w:tr>
        <w:tc>
          <w:tcPr>
            <w:tcW w:type="dxa" w:w="4968"/>
            <w:vAlign w:val="center"/>
          </w:tcPr>
          <w:p>
            <w:r/>
            <w:r>
              <w:rPr>
                <w:rFonts w:ascii="Arial" w:hAnsi="Arial"/>
                <w:b/>
                <w:color w:val="23303E"/>
                <w:sz w:val="18"/>
              </w:rPr>
              <w:t>Diamond</w:t>
            </w:r>
          </w:p>
        </w:tc>
        <w:tc>
          <w:tcPr>
            <w:tcW w:type="dxa" w:w="4968"/>
            <w:vAlign w:val="center"/>
          </w:tcPr>
          <w:p>
            <w:r/>
            <w:r>
              <w:rPr>
                <w:rFonts w:ascii="Arial" w:hAnsi="Arial"/>
                <w:b w:val="0"/>
                <w:color w:val="23303E"/>
                <w:sz w:val="18"/>
              </w:rPr>
              <w:t>GH₵100,000</w:t>
            </w:r>
          </w:p>
        </w:tc>
      </w:tr>
    </w:tbl>
    <w:p>
      <w:pPr>
        <w:pStyle w:val="Heading1"/>
      </w:pPr>
      <w:r>
        <w:t>7. Registration and Enquiry Workflow</w:t>
      </w:r>
    </w:p>
    <w:p>
      <w:pPr>
        <w:pStyle w:val="ListNumber"/>
      </w:pPr>
      <w:r>
        <w:t>A visitor selects a delegate package and completes the registration form.</w:t>
      </w:r>
    </w:p>
    <w:p>
      <w:pPr>
        <w:pStyle w:val="ListNumber"/>
      </w:pPr>
      <w:r>
        <w:t>The form should collect full name, organisation/business, job title (optional), email address, phone number, country (optional), selected package, number of delegates, and any relevant notes.</w:t>
      </w:r>
    </w:p>
    <w:p>
      <w:pPr>
        <w:pStyle w:val="ListNumber"/>
      </w:pPr>
      <w:r>
        <w:t>For group registration, the form should capture details for all three delegates or provide a clear process for submitting them together.</w:t>
      </w:r>
    </w:p>
    <w:p>
      <w:pPr>
        <w:pStyle w:val="ListNumber"/>
      </w:pPr>
      <w:r>
        <w:t>After submission, display a confirmation message and send an acknowledgement email if email automation is included.</w:t>
      </w:r>
    </w:p>
    <w:p>
      <w:pPr>
        <w:pStyle w:val="ListNumber"/>
      </w:pPr>
      <w:r>
        <w:t>Payment is not collected at the registration stage. The organiser will provide payment instructions after registration.</w:t>
      </w:r>
    </w:p>
    <w:p>
      <w:pPr>
        <w:pStyle w:val="ListNumber"/>
      </w:pPr>
      <w:r>
        <w:t>Sponsorship enquiries should use a separate form with organisation, contact person, email, phone, preferred sponsorship level, and message.</w:t>
      </w:r>
    </w:p>
    <w:p>
      <w:pPr>
        <w:pStyle w:val="ListNumber"/>
      </w:pPr>
      <w:r>
        <w:t>Forms should include a privacy notice and collect only information needed for the stated purpose.</w:t>
      </w:r>
    </w:p>
    <w:p>
      <w:pPr>
        <w:pStyle w:val="Heading1"/>
      </w:pPr>
      <w:r>
        <w:t>8. Branding and Visual Direction</w:t>
      </w:r>
    </w:p>
    <w:p>
      <w:r>
        <w:t>Use the supplied GBS logo and visual identity as the main design reference. Website colours should reflect the logo: navy blue, gold, green, and white. Use the exact logo artwork supplied by the organiser; do not redraw or distort it.</w:t>
      </w:r>
    </w:p>
    <w:p>
      <w:pPr>
        <w:pStyle w:val="ListBullet"/>
      </w:pPr>
      <w:r>
        <w:t>Professional, polished, international business and investment aesthetic.</w:t>
      </w:r>
    </w:p>
    <w:p>
      <w:pPr>
        <w:pStyle w:val="ListBullet"/>
      </w:pPr>
      <w:r>
        <w:t>Clear typography, generous spacing, and strong visual hierarchy.</w:t>
      </w:r>
    </w:p>
    <w:p>
      <w:pPr>
        <w:pStyle w:val="ListBullet"/>
      </w:pPr>
      <w:r>
        <w:t>Use the logo colours consistently for headings, buttons, dividers, and highlights.</w:t>
      </w:r>
    </w:p>
    <w:p>
      <w:pPr>
        <w:pStyle w:val="ListBullet"/>
      </w:pPr>
      <w:r>
        <w:t>Use relevant, high-quality business and investment imagery without overcrowding the pages.</w:t>
      </w:r>
    </w:p>
    <w:p>
      <w:pPr>
        <w:pStyle w:val="ListBullet"/>
      </w:pPr>
      <w:r>
        <w:t>Ensure mobile responsiveness and accessibility, including readable text, good contrast, and descriptive form labels.</w:t>
      </w:r>
    </w:p>
    <w:p>
      <w:pPr>
        <w:pStyle w:val="Heading1"/>
      </w:pPr>
      <w:r>
        <w:t>9. Functional and Technical Requirements</w:t>
      </w:r>
    </w:p>
    <w:p>
      <w:pPr>
        <w:pStyle w:val="ListBullet"/>
      </w:pPr>
      <w:r>
        <w:t>Responsive layout for mobile phones, tablets, and desktop computers.</w:t>
      </w:r>
    </w:p>
    <w:p>
      <w:pPr>
        <w:pStyle w:val="ListBullet"/>
      </w:pPr>
      <w:r>
        <w:t>Secure forms with spam protection and validation.</w:t>
      </w:r>
    </w:p>
    <w:p>
      <w:pPr>
        <w:pStyle w:val="ListBullet"/>
      </w:pPr>
      <w:r>
        <w:t>Clear success and error messages after form submission.</w:t>
      </w:r>
    </w:p>
    <w:p>
      <w:pPr>
        <w:pStyle w:val="ListBullet"/>
      </w:pPr>
      <w:r>
        <w:t>Editable content for event details, prices, partners, speakers, programme, and announcements.</w:t>
      </w:r>
    </w:p>
    <w:p>
      <w:pPr>
        <w:pStyle w:val="ListBullet"/>
      </w:pPr>
      <w:r>
        <w:t>Basic search-engine optimisation, page titles, and social-sharing metadata.</w:t>
      </w:r>
    </w:p>
    <w:p>
      <w:pPr>
        <w:pStyle w:val="ListBullet"/>
      </w:pPr>
      <w:r>
        <w:t>SSL/HTTPS and appropriate website security measures.</w:t>
      </w:r>
    </w:p>
    <w:p>
      <w:pPr>
        <w:pStyle w:val="ListBullet"/>
      </w:pPr>
      <w:r>
        <w:t>Privacy notice describing how registration and enquiry information will be used.</w:t>
      </w:r>
    </w:p>
    <w:p>
      <w:pPr>
        <w:pStyle w:val="ListBullet"/>
      </w:pPr>
      <w:r>
        <w:t>Backup and recovery arrangements, plus handover of administrator access to the authorised FKI representative.</w:t>
      </w:r>
    </w:p>
    <w:p>
      <w:pPr>
        <w:pStyle w:val="ListBullet"/>
      </w:pPr>
      <w:r>
        <w:t>Provide an agreed method for updating content after launch and explain any ongoing hosting or maintenance costs.</w:t>
      </w:r>
    </w:p>
    <w:p>
      <w:pPr>
        <w:pStyle w:val="Heading1"/>
      </w:pPr>
      <w:r>
        <w:t>10. Current Partners</w:t>
      </w:r>
    </w:p>
    <w:p>
      <w:r>
        <w:t>The Partners page should display the following organisations, using approved logos and descriptions when supplied:</w:t>
      </w:r>
    </w:p>
    <w:p>
      <w:pPr>
        <w:pStyle w:val="ListBullet"/>
      </w:pPr>
      <w:r>
        <w:t>FKI Konnect</w:t>
      </w:r>
    </w:p>
    <w:p>
      <w:pPr>
        <w:pStyle w:val="ListBullet"/>
      </w:pPr>
      <w:r>
        <w:t>FKI Construction</w:t>
      </w:r>
    </w:p>
    <w:p>
      <w:pPr>
        <w:pStyle w:val="ListBullet"/>
      </w:pPr>
      <w:r>
        <w:t>FKI Biz Consult</w:t>
      </w:r>
    </w:p>
    <w:p>
      <w:pPr>
        <w:pStyle w:val="ListBullet"/>
      </w:pPr>
      <w:r>
        <w:t>FKI Security</w:t>
      </w:r>
    </w:p>
    <w:p>
      <w:pPr>
        <w:pStyle w:val="Heading1"/>
      </w:pPr>
      <w:r>
        <w:t>11. Content and Decisions Still Required</w:t>
      </w:r>
    </w:p>
    <w:p>
      <w:pPr>
        <w:pStyle w:val="ListBullet"/>
      </w:pPr>
      <w:r>
        <w:t>Approved short and full description of the summit and its objectives.</w:t>
      </w:r>
    </w:p>
    <w:p>
      <w:pPr>
        <w:pStyle w:val="ListBullet"/>
      </w:pPr>
      <w:r>
        <w:t>Confirmed benefits for Start-up, VIP, and VVIP packages, including membership discount terms and any exclusive privileges.</w:t>
      </w:r>
    </w:p>
    <w:p>
      <w:pPr>
        <w:pStyle w:val="ListBullet"/>
      </w:pPr>
      <w:r>
        <w:t>Confirmation of all Individual and Group Delegate benefits.</w:t>
      </w:r>
    </w:p>
    <w:p>
      <w:pPr>
        <w:pStyle w:val="ListBullet"/>
      </w:pPr>
      <w:r>
        <w:t>Approved benefits for each sponsorship tier.</w:t>
      </w:r>
    </w:p>
    <w:p>
      <w:pPr>
        <w:pStyle w:val="ListBullet"/>
      </w:pPr>
      <w:r>
        <w:t>Official website contact email and telephone number.</w:t>
      </w:r>
    </w:p>
    <w:p>
      <w:pPr>
        <w:pStyle w:val="ListBullet"/>
      </w:pPr>
      <w:r>
        <w:t>Speaker list, biographies, photos, and affiliations when confirmed.</w:t>
      </w:r>
    </w:p>
    <w:p>
      <w:pPr>
        <w:pStyle w:val="ListBullet"/>
      </w:pPr>
      <w:r>
        <w:t>Two-day programme and session titles when confirmed.</w:t>
      </w:r>
    </w:p>
    <w:p>
      <w:pPr>
        <w:pStyle w:val="ListBullet"/>
      </w:pPr>
      <w:r>
        <w:t>Registration form fields and who will receive registration submissions.</w:t>
      </w:r>
    </w:p>
    <w:p>
      <w:pPr>
        <w:pStyle w:val="ListBullet"/>
      </w:pPr>
      <w:r>
        <w:t>Payment instructions and the process for sending them after registration.</w:t>
      </w:r>
    </w:p>
    <w:p>
      <w:pPr>
        <w:pStyle w:val="ListBullet"/>
      </w:pPr>
      <w:r>
        <w:t>Approved privacy notice and consent wording.</w:t>
      </w:r>
    </w:p>
    <w:p>
      <w:pPr>
        <w:pStyle w:val="ListBullet"/>
      </w:pPr>
      <w:r>
        <w:t>Domain name, hosting plan, maintenance arrangements, and designated website administrator.</w:t>
      </w:r>
    </w:p>
    <w:p>
      <w:pPr>
        <w:pStyle w:val="Heading1"/>
      </w:pPr>
      <w:r>
        <w:t>12. Acceptance Checklist</w:t>
      </w:r>
    </w:p>
    <w:p>
      <w:r>
        <w:t>☐ All approved event details are accurate.</w:t>
      </w:r>
    </w:p>
    <w:p>
      <w:r>
        <w:t>☐ The website is dedicated to GBS 2027, not a general FKI Holdings corporate site.</w:t>
      </w:r>
    </w:p>
    <w:p>
      <w:r>
        <w:t>☐ Colours and logo follow the GBS brand identity.</w:t>
      </w:r>
    </w:p>
    <w:p>
      <w:r>
        <w:t>☐ Delegate packages and prices are displayed clearly.</w:t>
      </w:r>
    </w:p>
    <w:p>
      <w:r>
        <w:t>☐ Visitors can register first and receive payment instructions later; no online payment is required at initial registration.</w:t>
      </w:r>
    </w:p>
    <w:p>
      <w:r>
        <w:t>☐ Group registration for three delegates is clearly explained.</w:t>
      </w:r>
    </w:p>
    <w:p>
      <w:r>
        <w:t>☐ Sponsorship levels and enquiry form are included.</w:t>
      </w:r>
    </w:p>
    <w:p>
      <w:r>
        <w:t>☐ Current partners are displayed.</w:t>
      </w:r>
    </w:p>
    <w:p>
      <w:r>
        <w:t>☐ Website works on common mobile and desktop screen sizes.</w:t>
      </w:r>
    </w:p>
    <w:p>
      <w:r>
        <w:t>☐ FKI receives administrator access and instructions for updating content.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E78"/>
        <w:sz w:val="16"/>
      </w:rPr>
      <w:t>THE GLOBAL BUSINESS SUMMIT 2027 | Website Content &amp;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D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02B4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59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B887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02B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