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Multi-Theme Investment Decision Framework</w:t>
      </w:r>
    </w:p>
    <w:p>
      <w:pPr>
        <w:spacing w:after="60"/>
        <w:jc w:val="center"/>
      </w:pPr>
      <w:r>
        <w:rPr>
          <w:rFonts w:ascii="Arial" w:cs="Arial" w:eastAsia="Arial" w:hAnsi="Arial"/>
          <w:color w:val="2E75B6"/>
          <w:sz w:val="26"/>
          <w:szCs w:val="26"/>
        </w:rPr>
        <w:t xml:space="preserve">Investment Decision Drivers by Theme</w:t>
      </w:r>
    </w:p>
    <w:p>
      <w:pPr>
        <w:spacing w:after="300"/>
        <w:jc w:val="center"/>
      </w:pPr>
      <w:r>
        <w:rPr>
          <w:rFonts w:ascii="Arial" w:cs="Arial" w:eastAsia="Arial" w:hAnsi="Arial"/>
          <w:i/>
          <w:iCs/>
          <w:color w:val="666666"/>
          <w:sz w:val="20"/>
          <w:szCs w:val="20"/>
        </w:rPr>
        <w:t xml:space="preserve">Version 1.0  |  August 2026  |  For Archie (Architecture &amp; Backtesting Agent)</w:t>
      </w:r>
    </w:p>
    <w:p>
      <w:pPr>
        <w:pStyle w:val="Heading1"/>
      </w:pPr>
      <w:r>
        <w:t xml:space="preserve">1. Purpose &amp; Design Principles</w:t>
      </w:r>
    </w:p>
    <w:p>
      <w:pPr>
        <w:spacing w:after="120"/>
      </w:pPr>
      <w:r>
        <w:rPr>
          <w:rFonts w:ascii="Arial" w:cs="Arial" w:eastAsia="Arial" w:hAnsi="Arial"/>
          <w:sz w:val="20"/>
          <w:szCs w:val="20"/>
        </w:rPr>
        <w:t xml:space="preserve">This framework provides a consistent, high-level structure for driving investment decisions across four distinct themes while preserving the unique characteristics of each. The goal is to move beyond pure momentum (which works exceptionally well for MSTR/Bitcoin) and create balanced, theme-appropriate decision systems that Archie can operationalize, backtest, and refine.</w:t>
      </w:r>
    </w:p>
    <w:p>
      <w:pPr>
        <w:spacing w:after="80"/>
      </w:pPr>
      <w:r>
        <w:rPr>
          <w:rFonts w:ascii="Arial" w:cs="Arial" w:eastAsia="Arial" w:hAnsi="Arial"/>
          <w:b/>
          <w:bCs/>
          <w:sz w:val="20"/>
          <w:szCs w:val="20"/>
        </w:rPr>
        <w:t xml:space="preserve">Core Design Principles:</w:t>
      </w:r>
    </w:p>
    <w:p>
      <w:pPr>
        <w:pStyle w:val="ListParagraph"/>
        <w:numPr>
          <w:ilvl w:val="0"/>
          <w:numId w:val="2"/>
        </w:numPr>
      </w:pPr>
      <w:r>
        <w:rPr>
          <w:rFonts w:ascii="Arial" w:cs="Arial" w:eastAsia="Arial" w:hAnsi="Arial"/>
          <w:sz w:val="20"/>
          <w:szCs w:val="20"/>
        </w:rPr>
        <w:t xml:space="preserve">Consistency of language: Same high-level vocabulary (Investment Decision Drivers) across all themes so the architecture remains coherent.</w:t>
      </w:r>
    </w:p>
    <w:p>
      <w:pPr>
        <w:pStyle w:val="ListParagraph"/>
        <w:numPr>
          <w:ilvl w:val="0"/>
          <w:numId w:val="2"/>
        </w:numPr>
      </w:pPr>
      <w:r>
        <w:rPr>
          <w:rFonts w:ascii="Arial" w:cs="Arial" w:eastAsia="Arial" w:hAnsi="Arial"/>
          <w:sz w:val="20"/>
          <w:szCs w:val="20"/>
        </w:rPr>
        <w:t xml:space="preserve">Theme-specific weighting: Drivers exist in every theme, but their relative importance and measurement differ.</w:t>
      </w:r>
    </w:p>
    <w:p>
      <w:pPr>
        <w:pStyle w:val="ListParagraph"/>
        <w:numPr>
          <w:ilvl w:val="0"/>
          <w:numId w:val="2"/>
        </w:numPr>
      </w:pPr>
      <w:r>
        <w:rPr>
          <w:rFonts w:ascii="Arial" w:cs="Arial" w:eastAsia="Arial" w:hAnsi="Arial"/>
          <w:sz w:val="20"/>
          <w:szCs w:val="20"/>
        </w:rPr>
        <w:t xml:space="preserve">Upstream/downstream clarity: Some drivers (Regime Filters, Liquidity &amp; Macro) act as gates; others (Momentum, Valuation) drive timing and sizing.</w:t>
      </w:r>
    </w:p>
    <w:p>
      <w:pPr>
        <w:pStyle w:val="ListParagraph"/>
        <w:numPr>
          <w:ilvl w:val="0"/>
          <w:numId w:val="2"/>
        </w:numPr>
        <w:spacing w:after="200"/>
      </w:pPr>
      <w:r>
        <w:rPr>
          <w:rFonts w:ascii="Arial" w:cs="Arial" w:eastAsia="Arial" w:hAnsi="Arial"/>
          <w:sz w:val="20"/>
          <w:szCs w:val="20"/>
        </w:rPr>
        <w:t xml:space="preserve">Actionable for Archie: Drivers are defined at a conceptual level so the agent can map existing SRI/SRIBI indicators and build new ones without over-specification.</w:t>
      </w:r>
    </w:p>
    <w:p>
      <w:pPr>
        <w:pStyle w:val="Heading1"/>
      </w:pPr>
      <w:r>
        <w:t xml:space="preserve">2. Theme 1 — Momentum Stocks (MSTR / Bitcoin / XLK Proxy for Visser)</w:t>
      </w:r>
    </w:p>
    <w:p>
      <w:pPr>
        <w:spacing w:after="120"/>
      </w:pPr>
      <w:r>
        <w:rPr>
          <w:rFonts w:ascii="Arial" w:cs="Arial" w:eastAsia="Arial" w:hAnsi="Arial"/>
          <w:sz w:val="20"/>
          <w:szCs w:val="20"/>
        </w:rPr>
        <w:t xml:space="preserve">Primary assets: MSTR, Bitcoin (via IBIT or spot), XLK (as technology/AI/robotics proxy for the Visser theme). MSTR has demonstrated exceptional edge using multi-timeframe SRI alone (~80% momentum contribution). XLK and broader tech require a more balanced mix because pure momentum underperforms relative to MSTR.</w:t>
      </w:r>
    </w:p>
    <w:p>
      <w:pPr>
        <w:pStyle w:val="Heading2"/>
      </w:pPr>
      <w:r>
        <w:t xml:space="preserve">Investment Decision Drivers</w:t>
      </w:r>
    </w:p>
    <w:p>
      <w:pPr>
        <w:pStyle w:val="Heading3"/>
      </w:pPr>
      <w:r>
        <w:t xml:space="preserve">2.1 Momentum</w:t>
      </w:r>
    </w:p>
    <w:p>
      <w:pPr>
        <w:spacing w:after="80"/>
      </w:pPr>
      <w:r>
        <w:rPr>
          <w:rFonts w:ascii="Arial" w:cs="Arial" w:eastAsia="Arial" w:hAnsi="Arial"/>
          <w:sz w:val="20"/>
          <w:szCs w:val="20"/>
        </w:rPr>
        <w:t xml:space="preserve">Thesis: Price behavior that persists because capital flows into winners and out of losers. For MSTR this is the dominant driver (estimated 70-80% of edge). For XLK it is important but secondary (roughly 25-35%). Multi-timeframe SRI/SRIBI structure remains the primary measurement tool.</w:t>
      </w:r>
    </w:p>
    <w:p>
      <w:pPr>
        <w:pStyle w:val="Heading3"/>
      </w:pPr>
      <w:r>
        <w:t xml:space="preserve">2.2 Valuation</w:t>
      </w:r>
    </w:p>
    <w:p>
      <w:pPr>
        <w:spacing w:after="80"/>
      </w:pPr>
      <w:r>
        <w:rPr>
          <w:rFonts w:ascii="Arial" w:cs="Arial" w:eastAsia="Arial" w:hAnsi="Arial"/>
          <w:sz w:val="20"/>
          <w:szCs w:val="20"/>
        </w:rPr>
        <w:t xml:space="preserve">Thesis: Measures the asymmetry between current price and a reasonable estimate of intrinsic or relative value. Critical for XLK and growth tech where extended valuations create mean-reversion risk. Less dominant for MSTR because Bitcoin treasury dynamics and leverage amplify momentum over traditional multiples.</w:t>
      </w:r>
    </w:p>
    <w:p>
      <w:pPr>
        <w:pStyle w:val="Heading3"/>
      </w:pPr>
      <w:r>
        <w:t xml:space="preserve">2.3 Fundamentals</w:t>
      </w:r>
    </w:p>
    <w:p>
      <w:pPr>
        <w:spacing w:after="80"/>
      </w:pPr>
      <w:r>
        <w:rPr>
          <w:rFonts w:ascii="Arial" w:cs="Arial" w:eastAsia="Arial" w:hAnsi="Arial"/>
          <w:sz w:val="20"/>
          <w:szCs w:val="20"/>
        </w:rPr>
        <w:t xml:space="preserve">Thesis: Actual business results (revenue growth, earnings quality, capital deployment into AI/infrastructure) that ultimately drive long-term intrinsic value. Provides the fundamental “why” behind sustained trends and helps filter false momentum signals in XLK.</w:t>
      </w:r>
    </w:p>
    <w:p>
      <w:pPr>
        <w:pStyle w:val="Heading3"/>
      </w:pPr>
      <w:r>
        <w:t xml:space="preserve">2.4 Liquidity &amp; Macro</w:t>
      </w:r>
    </w:p>
    <w:p>
      <w:pPr>
        <w:spacing w:after="80"/>
      </w:pPr>
      <w:r>
        <w:rPr>
          <w:rFonts w:ascii="Arial" w:cs="Arial" w:eastAsia="Arial" w:hAnsi="Arial"/>
          <w:sz w:val="20"/>
          <w:szCs w:val="20"/>
        </w:rPr>
        <w:t xml:space="preserve">Thesis: The ocean in which the asset swims. Global liquidity (GLI), growth (GEGI), and credit conditions determine the environment in which momentum can persist. This driver acts as an upstream regime filter more than a timing tool.</w:t>
      </w:r>
    </w:p>
    <w:p>
      <w:pPr>
        <w:pStyle w:val="Heading3"/>
      </w:pPr>
      <w:r>
        <w:t xml:space="preserve">2.5 Risk-Reward Asymmetry</w:t>
      </w:r>
    </w:p>
    <w:p>
      <w:pPr>
        <w:spacing w:after="80"/>
      </w:pPr>
      <w:r>
        <w:rPr>
          <w:rFonts w:ascii="Arial" w:cs="Arial" w:eastAsia="Arial" w:hAnsi="Arial"/>
          <w:sz w:val="20"/>
          <w:szCs w:val="20"/>
        </w:rPr>
        <w:t xml:space="preserve">Thesis: Captures the market’s pricing of tail risk and the cost of protection (implied volatility, skew, drawdown depth relative to key moving averages). Helps size positions and identify points where the reward for taking risk is unusually high or low.</w:t>
      </w:r>
    </w:p>
    <w:p>
      <w:pPr>
        <w:pStyle w:val="Heading3"/>
      </w:pPr>
      <w:r>
        <w:t xml:space="preserve">2.6 Sentiment</w:t>
      </w:r>
    </w:p>
    <w:p>
      <w:pPr>
        <w:spacing w:after="80"/>
      </w:pPr>
      <w:r>
        <w:rPr>
          <w:rFonts w:ascii="Arial" w:cs="Arial" w:eastAsia="Arial" w:hAnsi="Arial"/>
          <w:sz w:val="20"/>
          <w:szCs w:val="20"/>
        </w:rPr>
        <w:t xml:space="preserve">Thesis: The psychological layer. Extreme fear or greed creates overreactions that produce high-probability mean-reversion or continuation opportunities. Useful as a secondary confirmation rather than a primary driver for these assets.</w:t>
      </w:r>
    </w:p>
    <w:p>
      <w:pPr>
        <w:pStyle w:val="Heading3"/>
      </w:pPr>
      <w:r>
        <w:t xml:space="preserve">2.7 Regime Filters</w:t>
      </w:r>
    </w:p>
    <w:p>
      <w:pPr>
        <w:spacing w:after="200"/>
      </w:pPr>
      <w:r>
        <w:rPr>
          <w:rFonts w:ascii="Arial" w:cs="Arial" w:eastAsia="Arial" w:hAnsi="Arial"/>
          <w:sz w:val="20"/>
          <w:szCs w:val="20"/>
        </w:rPr>
        <w:t xml:space="preserve">Thesis: On/off switches for the entire system. Liquidity regimes (expanding vs contracting), Howell-style macro phases, and volatility regimes determine which other drivers should be emphasized and whether new capital should be deployed at all.</w:t>
      </w:r>
    </w:p>
    <w:p>
      <w:pPr>
        <w:pStyle w:val="Heading1"/>
      </w:pPr>
      <w:r>
        <w:t xml:space="preserve">3. Theme 2 — Gold &amp; Metals</w:t>
      </w:r>
    </w:p>
    <w:p>
      <w:pPr>
        <w:spacing w:after="120"/>
      </w:pPr>
      <w:r>
        <w:rPr>
          <w:rFonts w:ascii="Arial" w:cs="Arial" w:eastAsia="Arial" w:hAnsi="Arial"/>
          <w:sz w:val="20"/>
          <w:szCs w:val="20"/>
        </w:rPr>
        <w:t xml:space="preserve">Primary assets: GLD, physical gold proxies, and related metals. Gold is not a company; it is a monetary commodity. Traditional equity factors (earnings, revenue growth) do not apply. The drivers therefore center on opportunity cost, monetary conditions, and safe-haven demand.</w:t>
      </w:r>
    </w:p>
    <w:p>
      <w:pPr>
        <w:pStyle w:val="Heading2"/>
      </w:pPr>
      <w:r>
        <w:t xml:space="preserve">Investment Decision Drivers</w:t>
      </w:r>
    </w:p>
    <w:p>
      <w:pPr>
        <w:pStyle w:val="Heading3"/>
      </w:pPr>
      <w:r>
        <w:t xml:space="preserve">3.1 Momentum</w:t>
      </w:r>
    </w:p>
    <w:p>
      <w:pPr>
        <w:spacing w:after="80"/>
      </w:pPr>
      <w:r>
        <w:rPr>
          <w:rFonts w:ascii="Arial" w:cs="Arial" w:eastAsia="Arial" w:hAnsi="Arial"/>
          <w:sz w:val="20"/>
          <w:szCs w:val="20"/>
        </w:rPr>
        <w:t xml:space="preserve">Thesis: Trend persistence and mean-reversion points remain useful. Gold trends can persist for months or years once established, but momentum alone is insufficient without confirmation from real yields and the dollar.</w:t>
      </w:r>
    </w:p>
    <w:p>
      <w:pPr>
        <w:pStyle w:val="Heading3"/>
      </w:pPr>
      <w:r>
        <w:t xml:space="preserve">3.2 Supply &amp; Scarcity</w:t>
      </w:r>
    </w:p>
    <w:p>
      <w:pPr>
        <w:spacing w:after="80"/>
      </w:pPr>
      <w:r>
        <w:rPr>
          <w:rFonts w:ascii="Arial" w:cs="Arial" w:eastAsia="Arial" w:hAnsi="Arial"/>
          <w:sz w:val="20"/>
          <w:szCs w:val="20"/>
        </w:rPr>
        <w:t xml:space="preserve">Thesis: Physical supply constraints, mine production trends, and central-bank buying/selling create structural tightness or surplus. Unlike equities, gold has a hard supply side that can dominate over multi-year horizons.</w:t>
      </w:r>
    </w:p>
    <w:p>
      <w:pPr>
        <w:pStyle w:val="Heading3"/>
      </w:pPr>
      <w:r>
        <w:t xml:space="preserve">3.3 Real Yields &amp; Interest Rates</w:t>
      </w:r>
    </w:p>
    <w:p>
      <w:pPr>
        <w:spacing w:after="80"/>
      </w:pPr>
      <w:r>
        <w:rPr>
          <w:rFonts w:ascii="Arial" w:cs="Arial" w:eastAsia="Arial" w:hAnsi="Arial"/>
          <w:sz w:val="20"/>
          <w:szCs w:val="20"/>
        </w:rPr>
        <w:t xml:space="preserve">Thesis: Gold’s primary opportunity cost is the real (inflation-adjusted) yield available on risk-free assets. Falling real yields historically support gold; rising real yields create headwinds. This is often the single most important near-term driver.</w:t>
      </w:r>
    </w:p>
    <w:p>
      <w:pPr>
        <w:pStyle w:val="Heading3"/>
      </w:pPr>
      <w:r>
        <w:t xml:space="preserve">3.4 Monetary &amp; Currency Dynamics</w:t>
      </w:r>
    </w:p>
    <w:p>
      <w:pPr>
        <w:spacing w:after="80"/>
      </w:pPr>
      <w:r>
        <w:rPr>
          <w:rFonts w:ascii="Arial" w:cs="Arial" w:eastAsia="Arial" w:hAnsi="Arial"/>
          <w:sz w:val="20"/>
          <w:szCs w:val="20"/>
        </w:rPr>
        <w:t xml:space="preserve">Thesis: Inflation expectations, dollar strength (DXY), and broader monetary policy regimes drive gold’s role as a monetary alternative. Currency debasement fears and reserve diversification by central banks amplify this driver.</w:t>
      </w:r>
    </w:p>
    <w:p>
      <w:pPr>
        <w:pStyle w:val="Heading3"/>
      </w:pPr>
      <w:r>
        <w:t xml:space="preserve">3.5 Risk &amp; Tail Demand</w:t>
      </w:r>
    </w:p>
    <w:p>
      <w:pPr>
        <w:spacing w:after="80"/>
      </w:pPr>
      <w:r>
        <w:rPr>
          <w:rFonts w:ascii="Arial" w:cs="Arial" w:eastAsia="Arial" w:hAnsi="Arial"/>
          <w:sz w:val="20"/>
          <w:szCs w:val="20"/>
        </w:rPr>
        <w:t xml:space="preserve">Thesis: Gold’s classic safe-haven function. Geopolitical stress, financial-system stress, and equity-market drawdowns increase demand for gold as portfolio insurance. This driver often overrides other factors in crisis periods.</w:t>
      </w:r>
    </w:p>
    <w:p>
      <w:pPr>
        <w:pStyle w:val="Heading3"/>
      </w:pPr>
      <w:r>
        <w:t xml:space="preserve">3.6 Sentiment &amp; Positioning</w:t>
      </w:r>
    </w:p>
    <w:p>
      <w:pPr>
        <w:spacing w:after="80"/>
      </w:pPr>
      <w:r>
        <w:rPr>
          <w:rFonts w:ascii="Arial" w:cs="Arial" w:eastAsia="Arial" w:hAnsi="Arial"/>
          <w:sz w:val="20"/>
          <w:szCs w:val="20"/>
        </w:rPr>
        <w:t xml:space="preserve">Thesis: Speculative positioning (futures, ETFs, retail flows) and sentiment extremes create tactical opportunities. Extreme net-long or net-short positioning can signal overcrowded trades even when the fundamental drivers remain intact.</w:t>
      </w:r>
    </w:p>
    <w:p>
      <w:pPr>
        <w:pStyle w:val="Heading3"/>
      </w:pPr>
      <w:r>
        <w:t xml:space="preserve">3.7 Regime Filters</w:t>
      </w:r>
    </w:p>
    <w:p>
      <w:pPr>
        <w:spacing w:after="200"/>
      </w:pPr>
      <w:r>
        <w:rPr>
          <w:rFonts w:ascii="Arial" w:cs="Arial" w:eastAsia="Arial" w:hAnsi="Arial"/>
          <w:sz w:val="20"/>
          <w:szCs w:val="20"/>
        </w:rPr>
        <w:t xml:space="preserve">Thesis: Liquidity regimes, inflation regimes, and dollar cycles act as the primary on/off switches. Gold behaves very differently in high-inflation versus low-inflation environments and in periods of expanding versus contracting global liquidity.</w:t>
      </w:r>
    </w:p>
    <w:p>
      <w:pPr>
        <w:pStyle w:val="Heading1"/>
      </w:pPr>
      <w:r>
        <w:t xml:space="preserve">4. Theme 3 — All-Weather Portfolio</w:t>
      </w:r>
    </w:p>
    <w:p>
      <w:pPr>
        <w:spacing w:after="120"/>
      </w:pPr>
      <w:r>
        <w:rPr>
          <w:rFonts w:ascii="Arial" w:cs="Arial" w:eastAsia="Arial" w:hAnsi="Arial"/>
          <w:sz w:val="20"/>
          <w:szCs w:val="20"/>
        </w:rPr>
        <w:t xml:space="preserve">Primary construct: A diversified portfolio designed for stability across economic regimes (inspired by Ray Dalio’s All Weather philosophy). The objective is not to maximize return in any single regime but to maintain relatively stable performance and controlled drawdowns. Indicators therefore focus on the internal health and external stress of the portfolio itself rather than single-asset price prediction.</w:t>
      </w:r>
    </w:p>
    <w:p>
      <w:pPr>
        <w:pStyle w:val="Heading2"/>
      </w:pPr>
      <w:r>
        <w:t xml:space="preserve">Investment Decision Drivers</w:t>
      </w:r>
    </w:p>
    <w:p>
      <w:pPr>
        <w:pStyle w:val="Heading3"/>
      </w:pPr>
      <w:r>
        <w:t xml:space="preserve">4.1 Portfolio Volatility &amp; Correlation</w:t>
      </w:r>
    </w:p>
    <w:p>
      <w:pPr>
        <w:spacing w:after="80"/>
      </w:pPr>
      <w:r>
        <w:rPr>
          <w:rFonts w:ascii="Arial" w:cs="Arial" w:eastAsia="Arial" w:hAnsi="Arial"/>
          <w:sz w:val="20"/>
          <w:szCs w:val="20"/>
        </w:rPr>
        <w:t xml:space="preserve">Thesis: Measures internal stability. Rising pairwise correlations and elevating portfolio volatility signal that diversification is breaking down and the portfolio is becoming more fragile. This is the primary “health check” for an All-Weather allocation.</w:t>
      </w:r>
    </w:p>
    <w:p>
      <w:pPr>
        <w:pStyle w:val="Heading3"/>
      </w:pPr>
      <w:r>
        <w:t xml:space="preserve">4.2 Risk Asset Breadth &amp; Leadership</w:t>
      </w:r>
    </w:p>
    <w:p>
      <w:pPr>
        <w:spacing w:after="80"/>
      </w:pPr>
      <w:r>
        <w:rPr>
          <w:rFonts w:ascii="Arial" w:cs="Arial" w:eastAsia="Arial" w:hAnsi="Arial"/>
          <w:sz w:val="20"/>
          <w:szCs w:val="20"/>
        </w:rPr>
        <w:t xml:space="preserve">Thesis: Tracks how many assets within the portfolio (or within the broader risk-asset universe) are actually contributing positively. Narrow leadership or deteriorating breadth often precedes larger portfolio drawdowns even when headline indices remain stable.</w:t>
      </w:r>
    </w:p>
    <w:p>
      <w:pPr>
        <w:pStyle w:val="Heading3"/>
      </w:pPr>
      <w:r>
        <w:t xml:space="preserve">4.3 Liquidity &amp; Credit Spreads</w:t>
      </w:r>
    </w:p>
    <w:p>
      <w:pPr>
        <w:spacing w:after="80"/>
      </w:pPr>
      <w:r>
        <w:rPr>
          <w:rFonts w:ascii="Arial" w:cs="Arial" w:eastAsia="Arial" w:hAnsi="Arial"/>
          <w:sz w:val="20"/>
          <w:szCs w:val="20"/>
        </w:rPr>
        <w:t xml:space="preserve">Thesis: Broader system stress. Widening credit spreads, rising funding stress, and deteriorating liquidity conditions increase the probability that the All-Weather portfolio will experience correlated losses across asset classes.</w:t>
      </w:r>
    </w:p>
    <w:p>
      <w:pPr>
        <w:pStyle w:val="Heading3"/>
      </w:pPr>
      <w:r>
        <w:t xml:space="preserve">4.4 Macro Regime &amp; Policy Divergence</w:t>
      </w:r>
    </w:p>
    <w:p>
      <w:pPr>
        <w:spacing w:after="80"/>
      </w:pPr>
      <w:r>
        <w:rPr>
          <w:rFonts w:ascii="Arial" w:cs="Arial" w:eastAsia="Arial" w:hAnsi="Arial"/>
          <w:sz w:val="20"/>
          <w:szCs w:val="20"/>
        </w:rPr>
        <w:t xml:space="preserve">Thesis: Identifies when different asset classes can coexist constructively versus when policy or growth regimes force large reallocations. Divergence between monetary and fiscal policy, or between growth and inflation regimes, is particularly informative.</w:t>
      </w:r>
    </w:p>
    <w:p>
      <w:pPr>
        <w:pStyle w:val="Heading3"/>
      </w:pPr>
      <w:r>
        <w:t xml:space="preserve">4.5 Tail Risk &amp; Asymmetry</w:t>
      </w:r>
    </w:p>
    <w:p>
      <w:pPr>
        <w:spacing w:after="200"/>
      </w:pPr>
      <w:r>
        <w:rPr>
          <w:rFonts w:ascii="Arial" w:cs="Arial" w:eastAsia="Arial" w:hAnsi="Arial"/>
          <w:sz w:val="20"/>
          <w:szCs w:val="20"/>
        </w:rPr>
        <w:t xml:space="preserve">Thesis: Monitors the cost and availability of portfolio protection. Elevated or rising costs of downside hedges, or unusually cheap protection, provide information about the market’s collective assessment of tail risk and can inform tactical overlay decisions.</w:t>
      </w:r>
    </w:p>
    <w:p>
      <w:pPr>
        <w:pStyle w:val="Heading1"/>
      </w:pPr>
      <w:r>
        <w:t xml:space="preserve">5. Cross-Theme Consistency Architecture</w:t>
      </w:r>
    </w:p>
    <w:p>
      <w:pPr>
        <w:spacing w:after="120"/>
      </w:pPr>
      <w:r>
        <w:rPr>
          <w:rFonts w:ascii="Arial" w:cs="Arial" w:eastAsia="Arial" w:hAnsi="Arial"/>
          <w:sz w:val="20"/>
          <w:szCs w:val="20"/>
        </w:rPr>
        <w:t xml:space="preserve">Although the specific drivers differ by theme, the architecture remains consistent so that Archie can maintain a single decision engine with theme-specific modules:</w:t>
      </w:r>
    </w:p>
    <w:p>
      <w:pPr>
        <w:pStyle w:val="ListParagraph"/>
        <w:numPr>
          <w:ilvl w:val="0"/>
          <w:numId w:val="3"/>
        </w:numPr>
      </w:pPr>
      <w:r>
        <w:rPr>
          <w:rFonts w:ascii="Arial" w:cs="Arial" w:eastAsia="Arial" w:hAnsi="Arial"/>
          <w:sz w:val="20"/>
          <w:szCs w:val="20"/>
        </w:rPr>
        <w:t xml:space="preserve">Every theme has a Regime Filter layer that acts as Gate Zero (hard block or size multiplier).</w:t>
      </w:r>
    </w:p>
    <w:p>
      <w:pPr>
        <w:pStyle w:val="ListParagraph"/>
        <w:numPr>
          <w:ilvl w:val="0"/>
          <w:numId w:val="3"/>
        </w:numPr>
      </w:pPr>
      <w:r>
        <w:rPr>
          <w:rFonts w:ascii="Arial" w:cs="Arial" w:eastAsia="Arial" w:hAnsi="Arial"/>
          <w:sz w:val="20"/>
          <w:szCs w:val="20"/>
        </w:rPr>
        <w:t xml:space="preserve">Every theme has at least one Momentum-style driver for timing.</w:t>
      </w:r>
    </w:p>
    <w:p>
      <w:pPr>
        <w:pStyle w:val="ListParagraph"/>
        <w:numPr>
          <w:ilvl w:val="0"/>
          <w:numId w:val="3"/>
        </w:numPr>
      </w:pPr>
      <w:r>
        <w:rPr>
          <w:rFonts w:ascii="Arial" w:cs="Arial" w:eastAsia="Arial" w:hAnsi="Arial"/>
          <w:sz w:val="20"/>
          <w:szCs w:val="20"/>
        </w:rPr>
        <w:t xml:space="preserve">Every theme has a risk/asymmetry driver for position sizing and risk management.</w:t>
      </w:r>
    </w:p>
    <w:p>
      <w:pPr>
        <w:pStyle w:val="ListParagraph"/>
        <w:numPr>
          <w:ilvl w:val="0"/>
          <w:numId w:val="3"/>
        </w:numPr>
      </w:pPr>
      <w:r>
        <w:rPr>
          <w:rFonts w:ascii="Arial" w:cs="Arial" w:eastAsia="Arial" w:hAnsi="Arial"/>
          <w:sz w:val="20"/>
          <w:szCs w:val="20"/>
        </w:rPr>
        <w:t xml:space="preserve">Liquidity &amp; Macro (or equivalent) sits upstream of all themes and is shared.</w:t>
      </w:r>
    </w:p>
    <w:p>
      <w:pPr>
        <w:pStyle w:val="ListParagraph"/>
        <w:numPr>
          <w:ilvl w:val="0"/>
          <w:numId w:val="3"/>
        </w:numPr>
        <w:spacing w:after="200"/>
      </w:pPr>
      <w:r>
        <w:rPr>
          <w:rFonts w:ascii="Arial" w:cs="Arial" w:eastAsia="Arial" w:hAnsi="Arial"/>
          <w:sz w:val="20"/>
          <w:szCs w:val="20"/>
        </w:rPr>
        <w:t xml:space="preserve">Theme-specific drivers (Valuation/Fundamentals for equities, Real Yields/Supply for gold, Portfolio Volatility for All-Weather) provide the unique edge for that theme.</w:t>
      </w:r>
    </w:p>
    <w:p>
      <w:pPr>
        <w:pStyle w:val="Heading1"/>
      </w:pPr>
      <w:r>
        <w:t xml:space="preserve">6. Next Steps for Archie</w:t>
      </w:r>
    </w:p>
    <w:p>
      <w:pPr>
        <w:spacing w:after="80"/>
      </w:pPr>
      <w:r>
        <w:rPr>
          <w:rFonts w:ascii="Arial" w:cs="Arial" w:eastAsia="Arial" w:hAnsi="Arial"/>
          <w:b/>
          <w:bCs/>
          <w:sz w:val="20"/>
          <w:szCs w:val="20"/>
        </w:rPr>
        <w:t xml:space="preserve">Recommended sequence:</w:t>
      </w:r>
    </w:p>
    <w:p>
      <w:pPr>
        <w:pStyle w:val="ListParagraph"/>
        <w:numPr>
          <w:ilvl w:val="0"/>
          <w:numId w:val="3"/>
        </w:numPr>
      </w:pPr>
      <w:r>
        <w:rPr>
          <w:rFonts w:ascii="Arial" w:cs="Arial" w:eastAsia="Arial" w:hAnsi="Arial"/>
          <w:sz w:val="20"/>
          <w:szCs w:val="20"/>
        </w:rPr>
        <w:t xml:space="preserve">Map existing SRI / SRIBI / Force Field indicators onto the Momentum and Regime Filter drivers for the Momentum Stocks theme (already strong).</w:t>
      </w:r>
    </w:p>
    <w:p>
      <w:pPr>
        <w:pStyle w:val="ListParagraph"/>
        <w:numPr>
          <w:ilvl w:val="0"/>
          <w:numId w:val="3"/>
        </w:numPr>
      </w:pPr>
      <w:r>
        <w:rPr>
          <w:rFonts w:ascii="Arial" w:cs="Arial" w:eastAsia="Arial" w:hAnsi="Arial"/>
          <w:sz w:val="20"/>
          <w:szCs w:val="20"/>
        </w:rPr>
        <w:t xml:space="preserve">Identify or construct the highest-signal proxies for Valuation, Fundamentals, and Risk-Reward Asymmetry for XLK.</w:t>
      </w:r>
    </w:p>
    <w:p>
      <w:pPr>
        <w:pStyle w:val="ListParagraph"/>
        <w:numPr>
          <w:ilvl w:val="0"/>
          <w:numId w:val="3"/>
        </w:numPr>
      </w:pPr>
      <w:r>
        <w:rPr>
          <w:rFonts w:ascii="Arial" w:cs="Arial" w:eastAsia="Arial" w:hAnsi="Arial"/>
          <w:sz w:val="20"/>
          <w:szCs w:val="20"/>
        </w:rPr>
        <w:t xml:space="preserve">Build the Gold theme drivers, starting with Real Yields and Monetary/Currency Dynamics (highest historical explanatory power).</w:t>
      </w:r>
    </w:p>
    <w:p>
      <w:pPr>
        <w:pStyle w:val="ListParagraph"/>
        <w:numPr>
          <w:ilvl w:val="0"/>
          <w:numId w:val="3"/>
        </w:numPr>
      </w:pPr>
      <w:r>
        <w:rPr>
          <w:rFonts w:ascii="Arial" w:cs="Arial" w:eastAsia="Arial" w:hAnsi="Arial"/>
          <w:sz w:val="20"/>
          <w:szCs w:val="20"/>
        </w:rPr>
        <w:t xml:space="preserve">Construct the All-Weather internal-stability suite (Portfolio Volatility &amp; Correlation + Breadth).</w:t>
      </w:r>
    </w:p>
    <w:p>
      <w:pPr>
        <w:pStyle w:val="ListParagraph"/>
        <w:numPr>
          <w:ilvl w:val="0"/>
          <w:numId w:val="3"/>
        </w:numPr>
      </w:pPr>
      <w:r>
        <w:rPr>
          <w:rFonts w:ascii="Arial" w:cs="Arial" w:eastAsia="Arial" w:hAnsi="Arial"/>
          <w:sz w:val="20"/>
          <w:szCs w:val="20"/>
        </w:rPr>
        <w:t xml:space="preserve">Run comparative backtests across themes to quantify the relative weight of each driver and refine the weighting scheme.</w:t>
      </w:r>
    </w:p>
    <w:p>
      <w:pPr>
        <w:pStyle w:val="ListParagraph"/>
        <w:numPr>
          <w:ilvl w:val="0"/>
          <w:numId w:val="3"/>
        </w:numPr>
        <w:spacing w:after="200"/>
      </w:pPr>
      <w:r>
        <w:rPr>
          <w:rFonts w:ascii="Arial" w:cs="Arial" w:eastAsia="Arial" w:hAnsi="Arial"/>
          <w:sz w:val="20"/>
          <w:szCs w:val="20"/>
        </w:rPr>
        <w:t xml:space="preserve">Feed results back into this document for version 1.1 refinement.</w:t>
      </w:r>
    </w:p>
    <w:p>
      <w:pPr>
        <w:spacing w:before="200"/>
      </w:pPr>
      <w:r>
        <w:rPr>
          <w:rFonts w:ascii="Arial" w:cs="Arial" w:eastAsia="Arial" w:hAnsi="Arial"/>
          <w:i/>
          <w:iCs/>
          <w:sz w:val="20"/>
          <w:szCs w:val="20"/>
        </w:rPr>
        <w:t xml:space="preserve">This document is intentionally conceptual. It defines the decision architecture without prescribing specific indicators, so that Archie retains full flexibility to select, test, and optimize the concrete measurements that best serve each driver.</w:t>
      </w:r>
    </w:p>
    <w:p>
      <w:pPr>
        <w:spacing w:before="120"/>
      </w:pPr>
      <w:r>
        <w:rPr>
          <w:rFonts w:ascii="Arial" w:cs="Arial" w:eastAsia="Arial" w:hAnsi="Arial"/>
          <w:color w:val="666666"/>
          <w:sz w:val="18"/>
          <w:szCs w:val="18"/>
        </w:rPr>
        <w:t xml:space="preserve">End of Framework Document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Prepared for Archie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8"/>
        <w:szCs w:val="18"/>
      </w:rPr>
      <w:t xml:space="preserve">Multi-Theme Investment Decision Framework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2026-08-07T20:24:13.289Z</dcterms:created>
  <dcterms:modified xsi:type="dcterms:W3CDTF">2026-08-07T20:24:13.289Z</dcterms:modified>
</cp:coreProperties>
</file>

<file path=docProps/custom.xml><?xml version="1.0" encoding="utf-8"?>
<Properties xmlns="http://schemas.openxmlformats.org/officeDocument/2006/custom-properties" xmlns:vt="http://schemas.openxmlformats.org/officeDocument/2006/docPropsVTypes"/>
</file>