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charts/chart4.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settings.xml" ContentType="application/vnd.openxmlformats-officedocument.wordprocessingml.settings+xml"/>
  <Override PartName="/word/commentsExtended.xml" ContentType="application/vnd.openxmlformats-officedocument.wordprocessingml.commentsExtended+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Shading"/>
        <w:tblpPr w:leftFromText="180" w:rightFromText="180" w:vertAnchor="page" w:horzAnchor="margin" w:tblpY="7168"/>
        <w:tblW w:w="5000" w:type="pct"/>
        <w:tblLook w:val="04A0" w:firstRow="1" w:lastRow="0" w:firstColumn="1" w:lastColumn="0" w:noHBand="0" w:noVBand="1"/>
      </w:tblPr>
      <w:tblGrid>
        <w:gridCol w:w="1332"/>
        <w:gridCol w:w="1960"/>
        <w:gridCol w:w="1893"/>
        <w:gridCol w:w="4175"/>
      </w:tblGrid>
      <w:tr w:rsidR="00B5125F" w14:paraId="681CD3ED" w14:textId="77777777" w:rsidTr="00B51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14:paraId="36D98EE7" w14:textId="77777777" w:rsidR="00B5125F" w:rsidRDefault="00B5125F" w:rsidP="00B5125F">
            <w:pPr>
              <w:spacing w:after="0" w:line="240" w:lineRule="auto"/>
            </w:pPr>
          </w:p>
          <w:p w14:paraId="534C0D88" w14:textId="77777777" w:rsidR="00B5125F" w:rsidRDefault="00B5125F" w:rsidP="00B5125F">
            <w:pPr>
              <w:spacing w:after="0" w:line="240" w:lineRule="auto"/>
            </w:pPr>
          </w:p>
          <w:p w14:paraId="27AFFD8A" w14:textId="77777777" w:rsidR="00B5125F" w:rsidRDefault="00B5125F" w:rsidP="00B5125F">
            <w:pPr>
              <w:spacing w:after="0" w:line="240" w:lineRule="auto"/>
            </w:pPr>
          </w:p>
          <w:p w14:paraId="259E5686" w14:textId="77777777" w:rsidR="00B5125F" w:rsidRDefault="00B5125F" w:rsidP="00B5125F">
            <w:pPr>
              <w:spacing w:after="0" w:line="240" w:lineRule="auto"/>
            </w:pPr>
          </w:p>
          <w:p w14:paraId="466A1FC8" w14:textId="77777777" w:rsidR="00B5125F" w:rsidRDefault="00B5125F" w:rsidP="00B5125F">
            <w:pPr>
              <w:spacing w:after="0" w:line="240" w:lineRule="auto"/>
            </w:pPr>
          </w:p>
          <w:p w14:paraId="705211F9" w14:textId="77777777" w:rsidR="00B5125F" w:rsidRDefault="00B5125F" w:rsidP="00B5125F">
            <w:pPr>
              <w:spacing w:after="0" w:line="240" w:lineRule="auto"/>
            </w:pPr>
          </w:p>
        </w:tc>
        <w:tc>
          <w:tcPr>
            <w:tcW w:w="1047" w:type="pct"/>
            <w:hideMark/>
          </w:tcPr>
          <w:p w14:paraId="178860E4" w14:textId="77777777" w:rsidR="00B5125F" w:rsidRDefault="00B5125F" w:rsidP="00B5125F">
            <w:pPr>
              <w:spacing w:after="0" w:line="240" w:lineRule="auto"/>
              <w:cnfStyle w:val="100000000000" w:firstRow="1" w:lastRow="0" w:firstColumn="0" w:lastColumn="0" w:oddVBand="0" w:evenVBand="0" w:oddHBand="0" w:evenHBand="0" w:firstRowFirstColumn="0" w:firstRowLastColumn="0" w:lastRowFirstColumn="0" w:lastRowLastColumn="0"/>
            </w:pPr>
            <w:r>
              <w:t>PRoduct</w:t>
            </w:r>
          </w:p>
        </w:tc>
        <w:tc>
          <w:tcPr>
            <w:tcW w:w="1011" w:type="pct"/>
            <w:hideMark/>
          </w:tcPr>
          <w:p w14:paraId="65F9BFCD" w14:textId="77777777" w:rsidR="00B5125F" w:rsidRDefault="00B5125F" w:rsidP="00B5125F">
            <w:pPr>
              <w:spacing w:after="0" w:line="240" w:lineRule="auto"/>
              <w:cnfStyle w:val="100000000000" w:firstRow="1" w:lastRow="0" w:firstColumn="0" w:lastColumn="0" w:oddVBand="0" w:evenVBand="0" w:oddHBand="0" w:evenHBand="0" w:firstRowFirstColumn="0" w:firstRowLastColumn="0" w:lastRowFirstColumn="0" w:lastRowLastColumn="0"/>
            </w:pPr>
            <w:r>
              <w:t>Brand REcognition</w:t>
            </w:r>
          </w:p>
        </w:tc>
        <w:tc>
          <w:tcPr>
            <w:tcW w:w="2230" w:type="pct"/>
            <w:hideMark/>
          </w:tcPr>
          <w:p w14:paraId="3940056C" w14:textId="77777777" w:rsidR="00B5125F" w:rsidRDefault="00B5125F" w:rsidP="00B5125F">
            <w:pPr>
              <w:spacing w:after="0" w:line="240" w:lineRule="auto"/>
              <w:cnfStyle w:val="100000000000" w:firstRow="1" w:lastRow="0" w:firstColumn="0" w:lastColumn="0" w:oddVBand="0" w:evenVBand="0" w:oddHBand="0" w:evenHBand="0" w:firstRowFirstColumn="0" w:firstRowLastColumn="0" w:lastRowFirstColumn="0" w:lastRowLastColumn="0"/>
            </w:pPr>
            <w:r>
              <w:t>Key Characteristics</w:t>
            </w:r>
          </w:p>
        </w:tc>
      </w:tr>
      <w:tr w:rsidR="00B5125F" w14:paraId="4B10174E" w14:textId="77777777" w:rsidTr="00B5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Borders>
              <w:top w:val="nil"/>
              <w:bottom w:val="nil"/>
            </w:tcBorders>
            <w:hideMark/>
          </w:tcPr>
          <w:p w14:paraId="34FB272E" w14:textId="77777777" w:rsidR="00B5125F" w:rsidRDefault="00B5125F" w:rsidP="00B5125F">
            <w:pPr>
              <w:spacing w:after="40" w:line="240" w:lineRule="auto"/>
              <w:jc w:val="center"/>
            </w:pPr>
            <w:r>
              <w:t>1</w:t>
            </w:r>
          </w:p>
        </w:tc>
        <w:tc>
          <w:tcPr>
            <w:tcW w:w="1047" w:type="pct"/>
            <w:tcBorders>
              <w:top w:val="nil"/>
              <w:bottom w:val="nil"/>
            </w:tcBorders>
            <w:hideMark/>
          </w:tcPr>
          <w:p w14:paraId="221AE1C2"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Competitor A</w:t>
            </w:r>
          </w:p>
        </w:tc>
        <w:tc>
          <w:tcPr>
            <w:tcW w:w="1011" w:type="pct"/>
            <w:tcBorders>
              <w:top w:val="nil"/>
              <w:bottom w:val="nil"/>
            </w:tcBorders>
            <w:hideMark/>
          </w:tcPr>
          <w:p w14:paraId="7C53A557"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High</w:t>
            </w:r>
          </w:p>
        </w:tc>
        <w:tc>
          <w:tcPr>
            <w:tcW w:w="2230" w:type="pct"/>
            <w:tcBorders>
              <w:top w:val="nil"/>
              <w:bottom w:val="nil"/>
            </w:tcBorders>
            <w:hideMark/>
          </w:tcPr>
          <w:p w14:paraId="2FFB00F4"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Heavy use of graphics / dark colors</w:t>
            </w:r>
          </w:p>
          <w:p w14:paraId="4B605E57"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Plastic/vacuum pack</w:t>
            </w:r>
          </w:p>
        </w:tc>
      </w:tr>
      <w:tr w:rsidR="00B5125F" w14:paraId="2E7F1888" w14:textId="77777777" w:rsidTr="00B5125F">
        <w:tc>
          <w:tcPr>
            <w:cnfStyle w:val="001000000000" w:firstRow="0" w:lastRow="0" w:firstColumn="1" w:lastColumn="0" w:oddVBand="0" w:evenVBand="0" w:oddHBand="0" w:evenHBand="0" w:firstRowFirstColumn="0" w:firstRowLastColumn="0" w:lastRowFirstColumn="0" w:lastRowLastColumn="0"/>
            <w:tcW w:w="712" w:type="pct"/>
            <w:tcBorders>
              <w:top w:val="nil"/>
              <w:left w:val="nil"/>
              <w:bottom w:val="nil"/>
              <w:right w:val="nil"/>
            </w:tcBorders>
            <w:hideMark/>
          </w:tcPr>
          <w:p w14:paraId="435AF429" w14:textId="77777777" w:rsidR="00B5125F" w:rsidRDefault="00B5125F" w:rsidP="00B5125F">
            <w:pPr>
              <w:spacing w:after="40" w:line="240" w:lineRule="auto"/>
              <w:jc w:val="center"/>
            </w:pPr>
            <w:r>
              <w:t>2</w:t>
            </w:r>
          </w:p>
        </w:tc>
        <w:tc>
          <w:tcPr>
            <w:tcW w:w="1047" w:type="pct"/>
            <w:tcBorders>
              <w:top w:val="nil"/>
              <w:left w:val="nil"/>
              <w:bottom w:val="nil"/>
              <w:right w:val="nil"/>
            </w:tcBorders>
            <w:hideMark/>
          </w:tcPr>
          <w:p w14:paraId="1355A728" w14:textId="77777777" w:rsidR="00B5125F" w:rsidRDefault="00B5125F" w:rsidP="00B5125F">
            <w:pPr>
              <w:spacing w:after="40" w:line="240" w:lineRule="auto"/>
              <w:cnfStyle w:val="000000000000" w:firstRow="0" w:lastRow="0" w:firstColumn="0" w:lastColumn="0" w:oddVBand="0" w:evenVBand="0" w:oddHBand="0" w:evenHBand="0" w:firstRowFirstColumn="0" w:firstRowLastColumn="0" w:lastRowFirstColumn="0" w:lastRowLastColumn="0"/>
            </w:pPr>
            <w:r>
              <w:t>Competitor B</w:t>
            </w:r>
          </w:p>
        </w:tc>
        <w:tc>
          <w:tcPr>
            <w:tcW w:w="1011" w:type="pct"/>
            <w:tcBorders>
              <w:top w:val="nil"/>
              <w:left w:val="nil"/>
              <w:bottom w:val="nil"/>
              <w:right w:val="nil"/>
            </w:tcBorders>
            <w:hideMark/>
          </w:tcPr>
          <w:p w14:paraId="57FA7056" w14:textId="77777777" w:rsidR="00B5125F" w:rsidRDefault="00B5125F" w:rsidP="00B5125F">
            <w:pPr>
              <w:spacing w:after="40" w:line="240" w:lineRule="auto"/>
              <w:cnfStyle w:val="000000000000" w:firstRow="0" w:lastRow="0" w:firstColumn="0" w:lastColumn="0" w:oddVBand="0" w:evenVBand="0" w:oddHBand="0" w:evenHBand="0" w:firstRowFirstColumn="0" w:firstRowLastColumn="0" w:lastRowFirstColumn="0" w:lastRowLastColumn="0"/>
            </w:pPr>
            <w:r>
              <w:t>High</w:t>
            </w:r>
          </w:p>
        </w:tc>
        <w:tc>
          <w:tcPr>
            <w:tcW w:w="2230" w:type="pct"/>
            <w:tcBorders>
              <w:top w:val="nil"/>
              <w:left w:val="nil"/>
              <w:bottom w:val="nil"/>
              <w:right w:val="nil"/>
            </w:tcBorders>
            <w:hideMark/>
          </w:tcPr>
          <w:p w14:paraId="3DB48608" w14:textId="77777777" w:rsidR="00B5125F" w:rsidRDefault="00B5125F" w:rsidP="00B5125F">
            <w:pPr>
              <w:spacing w:after="40" w:line="240" w:lineRule="auto"/>
              <w:cnfStyle w:val="000000000000" w:firstRow="0" w:lastRow="0" w:firstColumn="0" w:lastColumn="0" w:oddVBand="0" w:evenVBand="0" w:oddHBand="0" w:evenHBand="0" w:firstRowFirstColumn="0" w:firstRowLastColumn="0" w:lastRowFirstColumn="0" w:lastRowLastColumn="0"/>
            </w:pPr>
            <w:r>
              <w:t xml:space="preserve">Sleek box shape </w:t>
            </w:r>
          </w:p>
          <w:p w14:paraId="5186C53C" w14:textId="77777777" w:rsidR="00B5125F" w:rsidRDefault="00B5125F" w:rsidP="00B5125F">
            <w:pPr>
              <w:spacing w:after="40" w:line="240" w:lineRule="auto"/>
              <w:cnfStyle w:val="000000000000" w:firstRow="0" w:lastRow="0" w:firstColumn="0" w:lastColumn="0" w:oddVBand="0" w:evenVBand="0" w:oddHBand="0" w:evenHBand="0" w:firstRowFirstColumn="0" w:firstRowLastColumn="0" w:lastRowFirstColumn="0" w:lastRowLastColumn="0"/>
            </w:pPr>
            <w:r>
              <w:t>Clean lines/minimal</w:t>
            </w:r>
          </w:p>
          <w:p w14:paraId="3A4970F4" w14:textId="77777777" w:rsidR="00B5125F" w:rsidRDefault="00B5125F" w:rsidP="00B5125F">
            <w:pPr>
              <w:spacing w:after="40" w:line="240" w:lineRule="auto"/>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B5125F" w14:paraId="3471BE7F" w14:textId="77777777" w:rsidTr="00B5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Borders>
              <w:top w:val="nil"/>
              <w:bottom w:val="nil"/>
            </w:tcBorders>
            <w:hideMark/>
          </w:tcPr>
          <w:p w14:paraId="5CDCF5B7" w14:textId="77777777" w:rsidR="00B5125F" w:rsidRDefault="00B5125F" w:rsidP="00B5125F">
            <w:pPr>
              <w:spacing w:after="40" w:line="240" w:lineRule="auto"/>
              <w:jc w:val="center"/>
            </w:pPr>
            <w:r>
              <w:t>3</w:t>
            </w:r>
          </w:p>
        </w:tc>
        <w:tc>
          <w:tcPr>
            <w:tcW w:w="1047" w:type="pct"/>
            <w:tcBorders>
              <w:top w:val="nil"/>
              <w:bottom w:val="nil"/>
            </w:tcBorders>
            <w:hideMark/>
          </w:tcPr>
          <w:p w14:paraId="23CB654B"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Competitor C</w:t>
            </w:r>
          </w:p>
        </w:tc>
        <w:tc>
          <w:tcPr>
            <w:tcW w:w="1011" w:type="pct"/>
            <w:tcBorders>
              <w:top w:val="nil"/>
              <w:bottom w:val="nil"/>
            </w:tcBorders>
            <w:hideMark/>
          </w:tcPr>
          <w:p w14:paraId="4CF9B2BB"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New Product</w:t>
            </w:r>
          </w:p>
        </w:tc>
        <w:tc>
          <w:tcPr>
            <w:tcW w:w="2230" w:type="pct"/>
            <w:tcBorders>
              <w:top w:val="nil"/>
              <w:bottom w:val="nil"/>
            </w:tcBorders>
            <w:hideMark/>
          </w:tcPr>
          <w:p w14:paraId="224A8A86"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Detailed instructions</w:t>
            </w:r>
          </w:p>
          <w:p w14:paraId="20B1014F"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Conservative colors</w:t>
            </w:r>
          </w:p>
          <w:p w14:paraId="418C0A3E"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Plastic form pack</w:t>
            </w:r>
          </w:p>
        </w:tc>
      </w:tr>
      <w:tr w:rsidR="00B5125F" w14:paraId="0D8E391D" w14:textId="77777777" w:rsidTr="00B5125F">
        <w:tc>
          <w:tcPr>
            <w:cnfStyle w:val="001000000000" w:firstRow="0" w:lastRow="0" w:firstColumn="1" w:lastColumn="0" w:oddVBand="0" w:evenVBand="0" w:oddHBand="0" w:evenHBand="0" w:firstRowFirstColumn="0" w:firstRowLastColumn="0" w:lastRowFirstColumn="0" w:lastRowLastColumn="0"/>
            <w:tcW w:w="712" w:type="pct"/>
            <w:tcBorders>
              <w:top w:val="nil"/>
              <w:left w:val="nil"/>
              <w:bottom w:val="nil"/>
              <w:right w:val="nil"/>
            </w:tcBorders>
            <w:hideMark/>
          </w:tcPr>
          <w:p w14:paraId="0AA5DD0A" w14:textId="77777777" w:rsidR="00B5125F" w:rsidRDefault="00B5125F" w:rsidP="00B5125F">
            <w:pPr>
              <w:spacing w:after="40" w:line="240" w:lineRule="auto"/>
              <w:jc w:val="center"/>
            </w:pPr>
            <w:r>
              <w:t>4</w:t>
            </w:r>
          </w:p>
        </w:tc>
        <w:tc>
          <w:tcPr>
            <w:tcW w:w="1047" w:type="pct"/>
            <w:tcBorders>
              <w:top w:val="nil"/>
              <w:left w:val="nil"/>
              <w:bottom w:val="nil"/>
              <w:right w:val="nil"/>
            </w:tcBorders>
            <w:hideMark/>
          </w:tcPr>
          <w:p w14:paraId="181D8660" w14:textId="77777777" w:rsidR="00B5125F" w:rsidRDefault="00B5125F" w:rsidP="00B5125F">
            <w:pPr>
              <w:spacing w:after="40" w:line="240" w:lineRule="auto"/>
              <w:cnfStyle w:val="000000000000" w:firstRow="0" w:lastRow="0" w:firstColumn="0" w:lastColumn="0" w:oddVBand="0" w:evenVBand="0" w:oddHBand="0" w:evenHBand="0" w:firstRowFirstColumn="0" w:firstRowLastColumn="0" w:lastRowFirstColumn="0" w:lastRowLastColumn="0"/>
            </w:pPr>
            <w:r>
              <w:t>Our 2009 release</w:t>
            </w:r>
          </w:p>
        </w:tc>
        <w:tc>
          <w:tcPr>
            <w:tcW w:w="1011" w:type="pct"/>
            <w:tcBorders>
              <w:top w:val="nil"/>
              <w:left w:val="nil"/>
              <w:bottom w:val="nil"/>
              <w:right w:val="nil"/>
            </w:tcBorders>
            <w:hideMark/>
          </w:tcPr>
          <w:p w14:paraId="3FB8DE20" w14:textId="77777777" w:rsidR="00B5125F" w:rsidRDefault="00B5125F" w:rsidP="00B5125F">
            <w:pPr>
              <w:spacing w:after="40" w:line="240" w:lineRule="auto"/>
              <w:cnfStyle w:val="000000000000" w:firstRow="0" w:lastRow="0" w:firstColumn="0" w:lastColumn="0" w:oddVBand="0" w:evenVBand="0" w:oddHBand="0" w:evenHBand="0" w:firstRowFirstColumn="0" w:firstRowLastColumn="0" w:lastRowFirstColumn="0" w:lastRowLastColumn="0"/>
            </w:pPr>
            <w:r>
              <w:t>New Product</w:t>
            </w:r>
          </w:p>
        </w:tc>
        <w:tc>
          <w:tcPr>
            <w:tcW w:w="2230" w:type="pct"/>
            <w:tcBorders>
              <w:top w:val="nil"/>
              <w:left w:val="nil"/>
              <w:bottom w:val="nil"/>
              <w:right w:val="nil"/>
            </w:tcBorders>
            <w:hideMark/>
          </w:tcPr>
          <w:p w14:paraId="322E55E1" w14:textId="77777777" w:rsidR="00B5125F" w:rsidRDefault="00B5125F" w:rsidP="00B5125F">
            <w:pPr>
              <w:spacing w:after="40" w:line="240" w:lineRule="auto"/>
              <w:cnfStyle w:val="000000000000" w:firstRow="0" w:lastRow="0" w:firstColumn="0" w:lastColumn="0" w:oddVBand="0" w:evenVBand="0" w:oddHBand="0" w:evenHBand="0" w:firstRowFirstColumn="0" w:firstRowLastColumn="0" w:lastRowFirstColumn="0" w:lastRowLastColumn="0"/>
            </w:pPr>
            <w:r>
              <w:t>Instructions on package</w:t>
            </w:r>
          </w:p>
          <w:p w14:paraId="36A173ED" w14:textId="77777777" w:rsidR="00B5125F" w:rsidRDefault="00B5125F" w:rsidP="00B5125F">
            <w:pPr>
              <w:spacing w:after="40" w:line="240" w:lineRule="auto"/>
              <w:cnfStyle w:val="000000000000" w:firstRow="0" w:lastRow="0" w:firstColumn="0" w:lastColumn="0" w:oddVBand="0" w:evenVBand="0" w:oddHBand="0" w:evenHBand="0" w:firstRowFirstColumn="0" w:firstRowLastColumn="0" w:lastRowFirstColumn="0" w:lastRowLastColumn="0"/>
            </w:pPr>
            <w:r>
              <w:t>Multiple colors</w:t>
            </w:r>
          </w:p>
          <w:p w14:paraId="6AE9271B" w14:textId="77777777" w:rsidR="00B5125F" w:rsidRDefault="00B5125F" w:rsidP="00B5125F">
            <w:pPr>
              <w:spacing w:after="40" w:line="240" w:lineRule="auto"/>
              <w:cnfStyle w:val="000000000000" w:firstRow="0" w:lastRow="0" w:firstColumn="0" w:lastColumn="0" w:oddVBand="0" w:evenVBand="0" w:oddHBand="0" w:evenHBand="0" w:firstRowFirstColumn="0" w:firstRowLastColumn="0" w:lastRowFirstColumn="0" w:lastRowLastColumn="0"/>
            </w:pPr>
            <w:r>
              <w:t>Plastic form pack</w:t>
            </w:r>
          </w:p>
        </w:tc>
      </w:tr>
      <w:tr w:rsidR="00B5125F" w14:paraId="06E047CF" w14:textId="77777777" w:rsidTr="00B5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Borders>
              <w:top w:val="nil"/>
              <w:bottom w:val="single" w:sz="8" w:space="0" w:color="000000" w:themeColor="text1"/>
            </w:tcBorders>
            <w:hideMark/>
          </w:tcPr>
          <w:p w14:paraId="2431BC38" w14:textId="77777777" w:rsidR="00B5125F" w:rsidRDefault="00B5125F" w:rsidP="00B5125F">
            <w:pPr>
              <w:spacing w:after="40" w:line="240" w:lineRule="auto"/>
              <w:jc w:val="center"/>
            </w:pPr>
            <w:r>
              <w:t>5</w:t>
            </w:r>
          </w:p>
        </w:tc>
        <w:tc>
          <w:tcPr>
            <w:tcW w:w="1047" w:type="pct"/>
            <w:tcBorders>
              <w:top w:val="nil"/>
              <w:bottom w:val="single" w:sz="8" w:space="0" w:color="000000" w:themeColor="text1"/>
            </w:tcBorders>
            <w:hideMark/>
          </w:tcPr>
          <w:p w14:paraId="230E6A0A"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Borders>
              <w:top w:val="nil"/>
              <w:bottom w:val="single" w:sz="8" w:space="0" w:color="000000" w:themeColor="text1"/>
            </w:tcBorders>
            <w:hideMark/>
          </w:tcPr>
          <w:p w14:paraId="7B06D639"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High</w:t>
            </w:r>
          </w:p>
        </w:tc>
        <w:tc>
          <w:tcPr>
            <w:tcW w:w="2230" w:type="pct"/>
            <w:tcBorders>
              <w:top w:val="nil"/>
              <w:bottom w:val="single" w:sz="8" w:space="0" w:color="000000" w:themeColor="text1"/>
            </w:tcBorders>
            <w:hideMark/>
          </w:tcPr>
          <w:p w14:paraId="50554BAE"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Instructions on package</w:t>
            </w:r>
          </w:p>
          <w:p w14:paraId="73453F87"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Multiple colors</w:t>
            </w:r>
          </w:p>
          <w:p w14:paraId="42A31EC5" w14:textId="77777777" w:rsidR="00B5125F" w:rsidRDefault="00B5125F" w:rsidP="00B5125F">
            <w:pPr>
              <w:spacing w:after="40" w:line="240" w:lineRule="auto"/>
              <w:cnfStyle w:val="000000100000" w:firstRow="0" w:lastRow="0" w:firstColumn="0" w:lastColumn="0" w:oddVBand="0" w:evenVBand="0" w:oddHBand="1" w:evenHBand="0" w:firstRowFirstColumn="0" w:firstRowLastColumn="0" w:lastRowFirstColumn="0" w:lastRowLastColumn="0"/>
            </w:pPr>
            <w:r>
              <w:t>Recycled cardboard, custom box</w:t>
            </w:r>
          </w:p>
        </w:tc>
      </w:tr>
    </w:tbl>
    <w:p w14:paraId="652F7450" w14:textId="77777777" w:rsidR="00B5125F" w:rsidRDefault="00B5125F" w:rsidP="00B5125F">
      <w:pPr>
        <w:spacing w:before="240"/>
        <w:rPr>
          <w:sz w:val="32"/>
        </w:rPr>
      </w:pPr>
      <w:r w:rsidRPr="00B5125F">
        <w:rPr>
          <w:sz w:val="32"/>
        </w:rPr>
        <w:t>Release Information for CSAT Surveys</w:t>
      </w:r>
    </w:p>
    <w:p w14:paraId="2ECC4DE1" w14:textId="02957F52" w:rsidR="00D522DE" w:rsidRPr="00B5125F" w:rsidRDefault="00D522DE" w:rsidP="00B5125F">
      <w:pPr>
        <w:spacing w:before="240"/>
        <w:rPr>
          <w:sz w:val="32"/>
        </w:rPr>
      </w:pPr>
      <w:r w:rsidRPr="00D522DE">
        <w:rPr>
          <w:noProof/>
          <w:sz w:val="32"/>
        </w:rPr>
        <w:drawing>
          <wp:inline distT="0" distB="0" distL="0" distR="0" wp14:anchorId="4EAECC15" wp14:editId="7584CC10">
            <wp:extent cx="3171825" cy="3171825"/>
            <wp:effectExtent l="0" t="0" r="9525" b="9525"/>
            <wp:docPr id="1" name="Picture 1" descr="C:\Users\bryonm\Desktop\Brand Tools Assets\News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onm\Desktop\Brand Tools Assets\NewsSlid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1825" cy="3171825"/>
                    </a:xfrm>
                    <a:prstGeom prst="rect">
                      <a:avLst/>
                    </a:prstGeom>
                    <a:noFill/>
                    <a:ln>
                      <a:noFill/>
                    </a:ln>
                  </pic:spPr>
                </pic:pic>
              </a:graphicData>
            </a:graphic>
          </wp:inline>
        </w:drawing>
      </w:r>
      <w:bookmarkStart w:id="0" w:name="_GoBack"/>
      <w:bookmarkEnd w:id="0"/>
    </w:p>
    <w:p w14:paraId="688E1007" w14:textId="77777777" w:rsidR="00B5125F" w:rsidRDefault="00B5125F" w:rsidP="00B5125F">
      <w:pPr>
        <w:spacing w:before="24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2D09DD1F" w14:textId="77777777" w:rsidR="00B5125F" w:rsidRDefault="00B5125F" w:rsidP="00B5125F">
      <w:r>
        <w:lastRenderedPageBreak/>
        <w:t>Participants were asked to indicate what drew them to the selected package and to assign an emotion to initial impressions, opening the package, and perception of contents after opening. Key results:</w:t>
      </w:r>
    </w:p>
    <w:p w14:paraId="6E74BC69" w14:textId="77777777" w:rsidR="00B5125F" w:rsidRDefault="00B5125F" w:rsidP="00B5125F">
      <w:pPr>
        <w:pStyle w:val="NormalIndent"/>
      </w:pPr>
      <w:r>
        <w:rPr>
          <w:rStyle w:val="Emphasis"/>
        </w:rPr>
        <w:t>Package 2 drew 40% of participants and had minimal negative responses</w:t>
      </w:r>
      <w:r>
        <w:t xml:space="preserve">. Only significant negative response for this package was ‘confusion’ under the package design vs. content question.  </w:t>
      </w:r>
    </w:p>
    <w:p w14:paraId="0F6CF34C" w14:textId="77777777" w:rsidR="00B5125F" w:rsidRDefault="00B5125F" w:rsidP="00B5125F">
      <w:pPr>
        <w:pStyle w:val="NormalIndent"/>
      </w:pPr>
      <w:r>
        <w:rPr>
          <w:rStyle w:val="Emphasis"/>
        </w:rPr>
        <w:t xml:space="preserve">78% of participants who chose package 2 provided positive responses </w:t>
      </w:r>
      <w:r>
        <w:t>to the question of design vs. content. This was the only package to draw a majority of positive responses to this question.</w:t>
      </w:r>
    </w:p>
    <w:p w14:paraId="61BE547E" w14:textId="77777777" w:rsidR="00B5125F" w:rsidRDefault="00B5125F" w:rsidP="00B5125F">
      <w:pPr>
        <w:pStyle w:val="NormalIndent"/>
      </w:pPr>
      <w:r>
        <w:t xml:space="preserve">Not surprisingly, </w:t>
      </w:r>
      <w:r>
        <w:rPr>
          <w:rStyle w:val="Emphasis"/>
        </w:rPr>
        <w:t>opening plastic packaging drew high numbers for frustration</w:t>
      </w:r>
      <w:r>
        <w:t>, with package 3 also eliciting high numbers for anger.</w:t>
      </w:r>
    </w:p>
    <w:p w14:paraId="5DBC5437" w14:textId="77777777" w:rsidR="00B5125F" w:rsidRDefault="00B5125F" w:rsidP="00B5125F">
      <w:pPr>
        <w:pStyle w:val="Heading3"/>
      </w:pPr>
      <w:r>
        <w:t>Package Selection</w:t>
      </w:r>
    </w:p>
    <w:p w14:paraId="1CF7B825" w14:textId="77777777" w:rsidR="00B5125F" w:rsidRDefault="00B5125F" w:rsidP="00B5125F">
      <w:pPr>
        <w:jc w:val="center"/>
      </w:pPr>
      <w:r>
        <w:rPr>
          <w:noProof/>
        </w:rPr>
        <w:drawing>
          <wp:inline distT="0" distB="0" distL="0" distR="0" wp14:anchorId="38D75092" wp14:editId="373AD4D8">
            <wp:extent cx="2913380" cy="2052320"/>
            <wp:effectExtent l="0" t="0" r="1270" b="50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602813" w14:textId="77777777" w:rsidR="00B5125F" w:rsidRDefault="00B5125F" w:rsidP="00B5125F">
      <w:pPr>
        <w:pStyle w:val="Heading3"/>
      </w:pPr>
      <w:r>
        <w:t>Opening the Package</w:t>
      </w:r>
    </w:p>
    <w:p w14:paraId="11EE496E" w14:textId="77777777" w:rsidR="00B5125F" w:rsidRDefault="00B5125F" w:rsidP="00B5125F">
      <w:r>
        <w:rPr>
          <w:noProof/>
        </w:rPr>
        <w:drawing>
          <wp:inline distT="0" distB="0" distL="0" distR="0" wp14:anchorId="67043A35" wp14:editId="2839F7FE">
            <wp:extent cx="5029200" cy="2349500"/>
            <wp:effectExtent l="0" t="0" r="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83C358" w14:textId="77777777" w:rsidR="00B5125F" w:rsidRDefault="00B5125F" w:rsidP="00B5125F">
      <w:pPr>
        <w:pStyle w:val="Heading3"/>
      </w:pPr>
      <w:r>
        <w:lastRenderedPageBreak/>
        <w:t>Package Design vs. Content</w:t>
      </w:r>
    </w:p>
    <w:p w14:paraId="42EA04A0" w14:textId="77777777" w:rsidR="00B5125F" w:rsidRDefault="00B5125F" w:rsidP="00B5125F">
      <w:r>
        <w:rPr>
          <w:noProof/>
        </w:rPr>
        <w:drawing>
          <wp:inline distT="0" distB="0" distL="0" distR="0" wp14:anchorId="52EBA4F6" wp14:editId="35245B77">
            <wp:extent cx="5029200" cy="2349500"/>
            <wp:effectExtent l="0" t="0" r="0" b="127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C03921" w14:textId="77777777" w:rsidR="00B5125F" w:rsidRDefault="00B5125F" w:rsidP="00B5125F">
      <w:pPr>
        <w:pStyle w:val="Heading1"/>
      </w:pPr>
      <w:r>
        <w:t>Design Considerations</w:t>
      </w:r>
    </w:p>
    <w:p w14:paraId="375C7A02" w14:textId="77777777" w:rsidR="00B5125F" w:rsidRDefault="00B5125F" w:rsidP="00B5125F">
      <w:r>
        <w:t>It’s not about the package—it’s a way to introduce people to the product and help them connect with it. Keep it simple but not safe. What can we learn from this little guy?</w:t>
      </w:r>
    </w:p>
    <w:p w14:paraId="71C18274" w14:textId="77777777" w:rsidR="00B5125F" w:rsidRDefault="00B5125F" w:rsidP="00B5125F">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7B69347" w14:textId="77777777" w:rsidR="00B5125F" w:rsidRDefault="00B5125F" w:rsidP="00B5125F">
      <w:pPr>
        <w:pStyle w:val="NormalIndent"/>
      </w:pPr>
      <w:r>
        <w:rPr>
          <w:rStyle w:val="Emphasis"/>
        </w:rPr>
        <w:t>Choose carefully but act courageously:</w:t>
      </w:r>
      <w:r>
        <w:t xml:space="preserve"> If we’re too cautious, we may never get where we’re going.</w:t>
      </w:r>
    </w:p>
    <w:p w14:paraId="223CDD71" w14:textId="77777777" w:rsidR="00B5125F" w:rsidRDefault="00B5125F" w:rsidP="00B5125F">
      <w: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4568"/>
        <w:gridCol w:w="5105"/>
      </w:tblGrid>
      <w:tr w:rsidR="00B5125F" w14:paraId="4D8A6246" w14:textId="77777777" w:rsidTr="00B5125F">
        <w:tc>
          <w:tcPr>
            <w:tcW w:w="2361" w:type="pct"/>
            <w:hideMark/>
          </w:tcPr>
          <w:tbl>
            <w:tblPr>
              <w:tblStyle w:val="LightShading"/>
              <w:tblW w:w="5000" w:type="pct"/>
              <w:tblLook w:val="04A0" w:firstRow="1" w:lastRow="0" w:firstColumn="1" w:lastColumn="0" w:noHBand="0" w:noVBand="1"/>
            </w:tblPr>
            <w:tblGrid>
              <w:gridCol w:w="2227"/>
              <w:gridCol w:w="2125"/>
            </w:tblGrid>
            <w:tr w:rsidR="00B5125F" w14:paraId="60E42F4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407F8F1" w14:textId="77777777" w:rsidR="00B5125F" w:rsidRDefault="00B5125F"/>
              </w:tc>
              <w:tc>
                <w:tcPr>
                  <w:tcW w:w="2441" w:type="pct"/>
                  <w:noWrap/>
                  <w:hideMark/>
                </w:tcPr>
                <w:p w14:paraId="10E5F492" w14:textId="77777777" w:rsidR="00B5125F" w:rsidRDefault="00B512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B5125F" w14:paraId="35EAED3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tcBorders>
                    <w:top w:val="nil"/>
                    <w:bottom w:val="nil"/>
                  </w:tcBorders>
                  <w:noWrap/>
                  <w:hideMark/>
                </w:tcPr>
                <w:p w14:paraId="2CF76189" w14:textId="77777777" w:rsidR="00B5125F" w:rsidRDefault="00B5125F">
                  <w:pPr>
                    <w:spacing w:after="0" w:line="240" w:lineRule="auto"/>
                    <w:jc w:val="center"/>
                    <w:rPr>
                      <w:rFonts w:ascii="Calibri" w:eastAsia="Times New Roman" w:hAnsi="Calibri" w:cs="Calibri"/>
                      <w:color w:val="000000"/>
                    </w:rPr>
                  </w:pPr>
                  <w:r>
                    <w:rPr>
                      <w:rFonts w:ascii="Calibri" w:eastAsia="Times New Roman" w:hAnsi="Calibri" w:cs="Calibri"/>
                      <w:color w:val="000000"/>
                    </w:rPr>
                    <w:t>Shape</w:t>
                  </w:r>
                </w:p>
              </w:tc>
              <w:tc>
                <w:tcPr>
                  <w:tcW w:w="2441" w:type="pct"/>
                  <w:tcBorders>
                    <w:top w:val="nil"/>
                    <w:bottom w:val="nil"/>
                  </w:tcBorders>
                  <w:noWrap/>
                  <w:hideMark/>
                </w:tcPr>
                <w:p w14:paraId="29657FF7" w14:textId="77777777" w:rsidR="00B5125F" w:rsidRDefault="00B512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B5125F" w14:paraId="79A37A23" w14:textId="77777777">
              <w:trPr>
                <w:trHeight w:val="300"/>
              </w:trPr>
              <w:tc>
                <w:tcPr>
                  <w:cnfStyle w:val="001000000000" w:firstRow="0" w:lastRow="0" w:firstColumn="1" w:lastColumn="0" w:oddVBand="0" w:evenVBand="0" w:oddHBand="0" w:evenHBand="0" w:firstRowFirstColumn="0" w:firstRowLastColumn="0" w:lastRowFirstColumn="0" w:lastRowLastColumn="0"/>
                  <w:tcW w:w="2559" w:type="pct"/>
                  <w:tcBorders>
                    <w:top w:val="nil"/>
                    <w:left w:val="nil"/>
                    <w:bottom w:val="nil"/>
                    <w:right w:val="nil"/>
                  </w:tcBorders>
                  <w:noWrap/>
                  <w:hideMark/>
                </w:tcPr>
                <w:p w14:paraId="109C1415" w14:textId="77777777" w:rsidR="00B5125F" w:rsidRDefault="00B5125F">
                  <w:pPr>
                    <w:spacing w:after="0" w:line="240" w:lineRule="auto"/>
                    <w:jc w:val="center"/>
                    <w:rPr>
                      <w:rFonts w:ascii="Calibri" w:eastAsia="Times New Roman" w:hAnsi="Calibri" w:cs="Calibri"/>
                      <w:color w:val="000000"/>
                    </w:rPr>
                  </w:pPr>
                  <w:r>
                    <w:rPr>
                      <w:rFonts w:ascii="Calibri" w:eastAsia="Times New Roman" w:hAnsi="Calibri" w:cs="Calibri"/>
                      <w:color w:val="000000"/>
                    </w:rPr>
                    <w:t>Color</w:t>
                  </w:r>
                </w:p>
              </w:tc>
              <w:tc>
                <w:tcPr>
                  <w:tcW w:w="2441" w:type="pct"/>
                  <w:tcBorders>
                    <w:top w:val="nil"/>
                    <w:left w:val="nil"/>
                    <w:bottom w:val="nil"/>
                    <w:right w:val="nil"/>
                  </w:tcBorders>
                  <w:noWrap/>
                  <w:hideMark/>
                </w:tcPr>
                <w:p w14:paraId="4EBB11B7" w14:textId="77777777" w:rsidR="00B5125F" w:rsidRDefault="00B512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B5125F" w14:paraId="792FEE8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tcBorders>
                    <w:top w:val="nil"/>
                    <w:bottom w:val="nil"/>
                  </w:tcBorders>
                  <w:noWrap/>
                  <w:hideMark/>
                </w:tcPr>
                <w:p w14:paraId="0F9176B2" w14:textId="77777777" w:rsidR="00B5125F" w:rsidRDefault="00B5125F">
                  <w:pPr>
                    <w:spacing w:after="0" w:line="240" w:lineRule="auto"/>
                    <w:jc w:val="center"/>
                    <w:rPr>
                      <w:rFonts w:ascii="Calibri" w:eastAsia="Times New Roman" w:hAnsi="Calibri" w:cs="Calibri"/>
                      <w:color w:val="000000"/>
                    </w:rPr>
                  </w:pPr>
                  <w:r>
                    <w:rPr>
                      <w:rFonts w:ascii="Calibri" w:eastAsia="Times New Roman" w:hAnsi="Calibri" w:cs="Calibri"/>
                      <w:color w:val="000000"/>
                    </w:rPr>
                    <w:t>Words</w:t>
                  </w:r>
                </w:p>
              </w:tc>
              <w:tc>
                <w:tcPr>
                  <w:tcW w:w="2441" w:type="pct"/>
                  <w:tcBorders>
                    <w:top w:val="nil"/>
                    <w:bottom w:val="nil"/>
                  </w:tcBorders>
                  <w:noWrap/>
                  <w:hideMark/>
                </w:tcPr>
                <w:p w14:paraId="5A834661" w14:textId="77777777" w:rsidR="00B5125F" w:rsidRDefault="00B512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B5125F" w14:paraId="6319F08C" w14:textId="77777777">
              <w:trPr>
                <w:trHeight w:val="300"/>
              </w:trPr>
              <w:tc>
                <w:tcPr>
                  <w:cnfStyle w:val="001000000000" w:firstRow="0" w:lastRow="0" w:firstColumn="1" w:lastColumn="0" w:oddVBand="0" w:evenVBand="0" w:oddHBand="0" w:evenHBand="0" w:firstRowFirstColumn="0" w:firstRowLastColumn="0" w:lastRowFirstColumn="0" w:lastRowLastColumn="0"/>
                  <w:tcW w:w="2559" w:type="pct"/>
                  <w:tcBorders>
                    <w:top w:val="nil"/>
                    <w:left w:val="nil"/>
                    <w:bottom w:val="nil"/>
                    <w:right w:val="nil"/>
                  </w:tcBorders>
                  <w:noWrap/>
                  <w:hideMark/>
                </w:tcPr>
                <w:p w14:paraId="3EDE6B1D" w14:textId="77777777" w:rsidR="00B5125F" w:rsidRDefault="00B5125F">
                  <w:pPr>
                    <w:spacing w:after="0" w:line="240" w:lineRule="auto"/>
                    <w:jc w:val="center"/>
                    <w:rPr>
                      <w:rFonts w:ascii="Calibri" w:eastAsia="Times New Roman" w:hAnsi="Calibri" w:cs="Calibri"/>
                      <w:color w:val="000000"/>
                    </w:rPr>
                  </w:pPr>
                  <w:r>
                    <w:rPr>
                      <w:rFonts w:ascii="Calibri" w:eastAsia="Times New Roman" w:hAnsi="Calibri" w:cs="Calibri"/>
                      <w:color w:val="000000"/>
                    </w:rPr>
                    <w:t>Symbols</w:t>
                  </w:r>
                </w:p>
              </w:tc>
              <w:tc>
                <w:tcPr>
                  <w:tcW w:w="2441" w:type="pct"/>
                  <w:tcBorders>
                    <w:top w:val="nil"/>
                    <w:left w:val="nil"/>
                    <w:bottom w:val="nil"/>
                    <w:right w:val="nil"/>
                  </w:tcBorders>
                  <w:noWrap/>
                  <w:hideMark/>
                </w:tcPr>
                <w:p w14:paraId="75C008AE" w14:textId="77777777" w:rsidR="00B5125F" w:rsidRDefault="00B512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B5125F" w14:paraId="40CB5B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tcBorders>
                    <w:top w:val="nil"/>
                    <w:bottom w:val="nil"/>
                  </w:tcBorders>
                  <w:noWrap/>
                  <w:hideMark/>
                </w:tcPr>
                <w:p w14:paraId="752E1614" w14:textId="77777777" w:rsidR="00B5125F" w:rsidRDefault="00B5125F">
                  <w:pPr>
                    <w:spacing w:after="0" w:line="240" w:lineRule="auto"/>
                    <w:jc w:val="center"/>
                    <w:rPr>
                      <w:rFonts w:ascii="Calibri" w:eastAsia="Times New Roman" w:hAnsi="Calibri" w:cs="Calibri"/>
                      <w:color w:val="000000"/>
                    </w:rPr>
                  </w:pPr>
                  <w:r>
                    <w:rPr>
                      <w:rFonts w:ascii="Calibri" w:eastAsia="Times New Roman" w:hAnsi="Calibri" w:cs="Calibri"/>
                      <w:color w:val="000000"/>
                    </w:rPr>
                    <w:t>Other</w:t>
                  </w:r>
                </w:p>
              </w:tc>
              <w:tc>
                <w:tcPr>
                  <w:tcW w:w="2441" w:type="pct"/>
                  <w:tcBorders>
                    <w:top w:val="nil"/>
                    <w:bottom w:val="nil"/>
                  </w:tcBorders>
                  <w:noWrap/>
                  <w:hideMark/>
                </w:tcPr>
                <w:p w14:paraId="0411FAB3" w14:textId="77777777" w:rsidR="00B5125F" w:rsidRDefault="00B512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B5125F" w14:paraId="6C59056B" w14:textId="77777777">
              <w:trPr>
                <w:trHeight w:val="300"/>
              </w:trPr>
              <w:tc>
                <w:tcPr>
                  <w:cnfStyle w:val="001000000000" w:firstRow="0" w:lastRow="0" w:firstColumn="1" w:lastColumn="0" w:oddVBand="0" w:evenVBand="0" w:oddHBand="0" w:evenHBand="0" w:firstRowFirstColumn="0" w:firstRowLastColumn="0" w:lastRowFirstColumn="0" w:lastRowLastColumn="0"/>
                  <w:tcW w:w="2559" w:type="pct"/>
                  <w:tcBorders>
                    <w:top w:val="nil"/>
                    <w:left w:val="nil"/>
                    <w:bottom w:val="single" w:sz="8" w:space="0" w:color="000000" w:themeColor="text1"/>
                    <w:right w:val="nil"/>
                  </w:tcBorders>
                  <w:noWrap/>
                  <w:hideMark/>
                </w:tcPr>
                <w:p w14:paraId="547699E1" w14:textId="77777777" w:rsidR="00B5125F" w:rsidRDefault="00B5125F">
                  <w:pPr>
                    <w:spacing w:after="0" w:line="240" w:lineRule="auto"/>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tcBorders>
                    <w:top w:val="nil"/>
                    <w:left w:val="nil"/>
                    <w:bottom w:val="single" w:sz="8" w:space="0" w:color="000000" w:themeColor="text1"/>
                    <w:right w:val="nil"/>
                  </w:tcBorders>
                  <w:noWrap/>
                  <w:hideMark/>
                </w:tcPr>
                <w:p w14:paraId="64FA2B39" w14:textId="77777777" w:rsidR="00B5125F" w:rsidRDefault="00B512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2E31C04D" w14:textId="77777777" w:rsidR="00B5125F" w:rsidRDefault="00B5125F">
            <w:pPr>
              <w:jc w:val="center"/>
            </w:pPr>
          </w:p>
        </w:tc>
        <w:tc>
          <w:tcPr>
            <w:tcW w:w="2639" w:type="pct"/>
            <w:hideMark/>
          </w:tcPr>
          <w:p w14:paraId="45AB0923" w14:textId="77777777" w:rsidR="00B5125F" w:rsidRDefault="00B5125F">
            <w:pPr>
              <w:jc w:val="center"/>
              <w:rPr>
                <w:sz w:val="18"/>
                <w:szCs w:val="18"/>
              </w:rPr>
            </w:pPr>
            <w:r>
              <w:rPr>
                <w:noProof/>
              </w:rPr>
              <w:drawing>
                <wp:anchor distT="0" distB="0" distL="114300" distR="114300" simplePos="0" relativeHeight="251659264" behindDoc="0" locked="0" layoutInCell="1" allowOverlap="1" wp14:anchorId="4ED5C5DD" wp14:editId="7A147CC2">
                  <wp:simplePos x="0" y="0"/>
                  <wp:positionH relativeFrom="column">
                    <wp:posOffset>-68580</wp:posOffset>
                  </wp:positionH>
                  <wp:positionV relativeFrom="line">
                    <wp:posOffset>0</wp:posOffset>
                  </wp:positionV>
                  <wp:extent cx="2572385" cy="1591310"/>
                  <wp:effectExtent l="0" t="0" r="18415" b="889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tc>
      </w:tr>
    </w:tbl>
    <w:p w14:paraId="50E8FA1C" w14:textId="77777777" w:rsidR="00B5125F" w:rsidRDefault="00B5125F" w:rsidP="00B5125F">
      <w:r>
        <w:t xml:space="preserve">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w:t>
      </w:r>
      <w:r>
        <w:lastRenderedPageBreak/>
        <w:t xml:space="preserve">content is, in fact, no less important than shape and color and can have an equal—if not greater—impact when the right choices are </w:t>
      </w:r>
      <w:commentRangeStart w:id="1"/>
      <w:r>
        <w:t>made</w:t>
      </w:r>
      <w:commentRangeEnd w:id="1"/>
      <w:r>
        <w:rPr>
          <w:rStyle w:val="CommentReference"/>
        </w:rPr>
        <w:commentReference w:id="1"/>
      </w:r>
      <w:r>
        <w:t>.</w:t>
      </w:r>
    </w:p>
    <w:p w14:paraId="14CFE67B" w14:textId="77777777" w:rsidR="00B5125F" w:rsidRDefault="00B5125F" w:rsidP="00B5125F">
      <w:pPr>
        <w:pStyle w:val="Heading2"/>
      </w:pPr>
      <w:r>
        <w:t>Trends</w:t>
      </w:r>
    </w:p>
    <w:p w14:paraId="06C9BC27" w14:textId="77777777" w:rsidR="00B5125F" w:rsidRDefault="00B5125F" w:rsidP="00B5125F">
      <w:pPr>
        <w:spacing w:after="0" w:line="240" w:lineRule="auto"/>
        <w:rPr>
          <w:rFonts w:ascii="Times New Roman" w:hAnsi="Times New Roman" w:cs="Times New Roman"/>
          <w:color w:val="auto"/>
          <w:spacing w:val="0"/>
          <w:sz w:val="24"/>
          <w:szCs w:val="24"/>
        </w:rPr>
      </w:pPr>
      <w:r>
        <w:rPr>
          <w:color w:val="auto"/>
        </w:rPr>
        <w:t xml:space="preserve">The strongest trends we’re seeing are to designs that are clean bordering on minimalistic, modern, and that utilize type and color for emphasis. </w:t>
      </w:r>
    </w:p>
    <w:p w14:paraId="0443D1E1" w14:textId="77777777" w:rsidR="00F65F1A" w:rsidRDefault="00B5125F">
      <w:proofErr w:type="gramStart"/>
      <w:r>
        <w:t>v</w:t>
      </w:r>
      <w:proofErr w:type="gramEnd"/>
    </w:p>
    <w:sectPr w:rsidR="00F65F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ul Cannon" w:date="2012-01-24T11:53:00Z" w:initials="PC">
    <w:p w14:paraId="79D824F2" w14:textId="77777777" w:rsidR="00B5125F" w:rsidRDefault="00B5125F" w:rsidP="00B5125F">
      <w:pPr>
        <w:pStyle w:val="CommentText"/>
      </w:pPr>
      <w:r>
        <w:rPr>
          <w:rStyle w:val="CommentReference"/>
        </w:rPr>
        <w:annotationRef/>
      </w:r>
      <w:r>
        <w:t xml:space="preserve">Thanks, guys. No pressure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D824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5F"/>
    <w:rsid w:val="00B5125F"/>
    <w:rsid w:val="00D522DE"/>
    <w:rsid w:val="00F6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936D"/>
  <w15:chartTrackingRefBased/>
  <w15:docId w15:val="{C310A470-FE96-45F2-B3E0-B4AB884B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25F"/>
    <w:pPr>
      <w:spacing w:after="240" w:line="288" w:lineRule="auto"/>
    </w:pPr>
    <w:rPr>
      <w:color w:val="000000" w:themeColor="text1"/>
      <w:spacing w:val="20"/>
      <w:sz w:val="20"/>
      <w:szCs w:val="20"/>
    </w:rPr>
  </w:style>
  <w:style w:type="paragraph" w:styleId="Heading1">
    <w:name w:val="heading 1"/>
    <w:basedOn w:val="Normal"/>
    <w:next w:val="Normal"/>
    <w:link w:val="Heading1Char"/>
    <w:uiPriority w:val="9"/>
    <w:qFormat/>
    <w:rsid w:val="00B5125F"/>
    <w:pPr>
      <w:keepNext/>
      <w:keepLines/>
      <w:spacing w:before="480"/>
      <w:outlineLvl w:val="0"/>
    </w:pPr>
    <w:rPr>
      <w:rFonts w:asciiTheme="majorHAnsi" w:eastAsiaTheme="majorEastAsia" w:hAnsiTheme="majorHAnsi" w:cstheme="majorBidi"/>
      <w:bCs/>
      <w:caps/>
      <w:color w:val="2E74B5" w:themeColor="accent1" w:themeShade="BF"/>
      <w:sz w:val="28"/>
      <w:szCs w:val="28"/>
    </w:rPr>
  </w:style>
  <w:style w:type="paragraph" w:styleId="Heading2">
    <w:name w:val="heading 2"/>
    <w:basedOn w:val="Normal"/>
    <w:next w:val="Normal"/>
    <w:link w:val="Heading2Char"/>
    <w:uiPriority w:val="9"/>
    <w:semiHidden/>
    <w:unhideWhenUsed/>
    <w:qFormat/>
    <w:rsid w:val="00B5125F"/>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semiHidden/>
    <w:unhideWhenUsed/>
    <w:qFormat/>
    <w:rsid w:val="00B5125F"/>
    <w:pPr>
      <w:keepNext/>
      <w:keepLines/>
      <w:spacing w:before="200" w:after="0"/>
      <w:outlineLvl w:val="2"/>
    </w:pPr>
    <w:rPr>
      <w:rFonts w:asciiTheme="majorHAnsi" w:eastAsiaTheme="majorEastAsia" w:hAnsiTheme="majorHAnsi" w:cstheme="majorBidi"/>
      <w:bCs/>
      <w:caps/>
      <w:color w:val="7B7B7B" w:themeColor="accent3"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5F"/>
    <w:rPr>
      <w:rFonts w:asciiTheme="majorHAnsi" w:eastAsiaTheme="majorEastAsia" w:hAnsiTheme="majorHAnsi" w:cstheme="majorBidi"/>
      <w:bCs/>
      <w:caps/>
      <w:color w:val="2E74B5" w:themeColor="accent1" w:themeShade="BF"/>
      <w:spacing w:val="20"/>
      <w:sz w:val="28"/>
      <w:szCs w:val="28"/>
    </w:rPr>
  </w:style>
  <w:style w:type="character" w:customStyle="1" w:styleId="Heading2Char">
    <w:name w:val="Heading 2 Char"/>
    <w:basedOn w:val="DefaultParagraphFont"/>
    <w:link w:val="Heading2"/>
    <w:uiPriority w:val="9"/>
    <w:semiHidden/>
    <w:rsid w:val="00B5125F"/>
    <w:rPr>
      <w:rFonts w:asciiTheme="majorHAnsi" w:eastAsiaTheme="majorEastAsia" w:hAnsiTheme="majorHAnsi" w:cstheme="majorBidi"/>
      <w:bCs/>
      <w:caps/>
      <w:color w:val="000000" w:themeColor="text1"/>
      <w:spacing w:val="20"/>
      <w:sz w:val="28"/>
      <w:szCs w:val="26"/>
    </w:rPr>
  </w:style>
  <w:style w:type="character" w:customStyle="1" w:styleId="Heading3Char">
    <w:name w:val="Heading 3 Char"/>
    <w:basedOn w:val="DefaultParagraphFont"/>
    <w:link w:val="Heading3"/>
    <w:uiPriority w:val="9"/>
    <w:semiHidden/>
    <w:rsid w:val="00B5125F"/>
    <w:rPr>
      <w:rFonts w:asciiTheme="majorHAnsi" w:eastAsiaTheme="majorEastAsia" w:hAnsiTheme="majorHAnsi" w:cstheme="majorBidi"/>
      <w:bCs/>
      <w:caps/>
      <w:color w:val="7B7B7B" w:themeColor="accent3" w:themeShade="BF"/>
      <w:spacing w:val="20"/>
      <w:sz w:val="24"/>
      <w:szCs w:val="20"/>
    </w:rPr>
  </w:style>
  <w:style w:type="character" w:styleId="Emphasis">
    <w:name w:val="Emphasis"/>
    <w:basedOn w:val="DefaultParagraphFont"/>
    <w:uiPriority w:val="20"/>
    <w:qFormat/>
    <w:rsid w:val="00B5125F"/>
    <w:rPr>
      <w:i w:val="0"/>
      <w:iCs w:val="0"/>
      <w:color w:val="5B9BD5" w:themeColor="accent1"/>
    </w:rPr>
  </w:style>
  <w:style w:type="paragraph" w:styleId="NormalIndent">
    <w:name w:val="Normal Indent"/>
    <w:basedOn w:val="Normal"/>
    <w:uiPriority w:val="99"/>
    <w:semiHidden/>
    <w:unhideWhenUsed/>
    <w:rsid w:val="00B5125F"/>
    <w:pPr>
      <w:ind w:left="360" w:right="360"/>
    </w:pPr>
  </w:style>
  <w:style w:type="paragraph" w:styleId="CommentText">
    <w:name w:val="annotation text"/>
    <w:basedOn w:val="Normal"/>
    <w:link w:val="CommentTextChar"/>
    <w:uiPriority w:val="99"/>
    <w:semiHidden/>
    <w:unhideWhenUsed/>
    <w:rsid w:val="00B5125F"/>
    <w:pPr>
      <w:spacing w:line="240" w:lineRule="auto"/>
    </w:pPr>
  </w:style>
  <w:style w:type="character" w:customStyle="1" w:styleId="CommentTextChar">
    <w:name w:val="Comment Text Char"/>
    <w:basedOn w:val="DefaultParagraphFont"/>
    <w:link w:val="CommentText"/>
    <w:uiPriority w:val="99"/>
    <w:semiHidden/>
    <w:rsid w:val="00B5125F"/>
    <w:rPr>
      <w:color w:val="000000" w:themeColor="text1"/>
      <w:spacing w:val="20"/>
      <w:sz w:val="20"/>
      <w:szCs w:val="20"/>
    </w:rPr>
  </w:style>
  <w:style w:type="character" w:styleId="CommentReference">
    <w:name w:val="annotation reference"/>
    <w:basedOn w:val="DefaultParagraphFont"/>
    <w:uiPriority w:val="99"/>
    <w:semiHidden/>
    <w:unhideWhenUsed/>
    <w:rsid w:val="00B5125F"/>
    <w:rPr>
      <w:sz w:val="16"/>
      <w:szCs w:val="16"/>
    </w:rPr>
  </w:style>
  <w:style w:type="table" w:styleId="LightShading">
    <w:name w:val="Light Shading"/>
    <w:basedOn w:val="TableNormal"/>
    <w:uiPriority w:val="60"/>
    <w:semiHidden/>
    <w:unhideWhenUsed/>
    <w:rsid w:val="00B5125F"/>
    <w:pPr>
      <w:spacing w:before="40" w:after="40" w:line="240" w:lineRule="auto"/>
    </w:pPr>
    <w:rPr>
      <w:rFonts w:asciiTheme="majorHAnsi" w:hAnsiTheme="majorHAns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B51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25F"/>
    <w:rPr>
      <w:rFonts w:ascii="Segoe UI" w:hAnsi="Segoe UI" w:cs="Segoe UI"/>
      <w:color w:val="000000" w:themeColor="text1"/>
      <w:spacing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5" Type="http://schemas.openxmlformats.org/officeDocument/2006/relationships/customXml" Target="../customXml/item3.xml"/><Relationship Id="rId10" Type="http://schemas.microsoft.com/office/2011/relationships/commentsExtended" Target="commentsExtended.xml"/><Relationship Id="rId4" Type="http://schemas.openxmlformats.org/officeDocument/2006/relationships/image" Target="media/image1.png"/><Relationship Id="rId9" Type="http://schemas.openxmlformats.org/officeDocument/2006/relationships/comments" Target="comments.xml"/><Relationship Id="rId14"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ser>
        <c:dLbls>
          <c:dLblPos val="outEnd"/>
          <c:showLegendKey val="0"/>
          <c:showVal val="1"/>
          <c:showCatName val="0"/>
          <c:showSerName val="0"/>
          <c:showPercent val="0"/>
          <c:showBubbleSize val="0"/>
        </c:dLbls>
        <c:gapWidth val="444"/>
        <c:overlap val="-90"/>
        <c:axId val="314610632"/>
        <c:axId val="314612984"/>
      </c:barChart>
      <c:catAx>
        <c:axId val="314610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314612984"/>
        <c:crosses val="autoZero"/>
        <c:auto val="1"/>
        <c:lblAlgn val="ctr"/>
        <c:lblOffset val="100"/>
        <c:noMultiLvlLbl val="0"/>
      </c:catAx>
      <c:valAx>
        <c:axId val="314612984"/>
        <c:scaling>
          <c:orientation val="minMax"/>
        </c:scaling>
        <c:delete val="1"/>
        <c:axPos val="l"/>
        <c:numFmt formatCode="General" sourceLinked="1"/>
        <c:majorTickMark val="none"/>
        <c:minorTickMark val="none"/>
        <c:tickLblPos val="nextTo"/>
        <c:crossAx val="314610632"/>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ser>
        <c:dLbls>
          <c:dLblPos val="outEnd"/>
          <c:showLegendKey val="0"/>
          <c:showVal val="1"/>
          <c:showCatName val="0"/>
          <c:showSerName val="0"/>
          <c:showPercent val="0"/>
          <c:showBubbleSize val="0"/>
        </c:dLbls>
        <c:gapWidth val="444"/>
        <c:overlap val="-90"/>
        <c:axId val="361050440"/>
        <c:axId val="361050048"/>
      </c:barChart>
      <c:catAx>
        <c:axId val="361050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361050048"/>
        <c:crosses val="autoZero"/>
        <c:auto val="1"/>
        <c:lblAlgn val="ctr"/>
        <c:lblOffset val="100"/>
        <c:noMultiLvlLbl val="0"/>
      </c:catAx>
      <c:valAx>
        <c:axId val="361050048"/>
        <c:scaling>
          <c:orientation val="minMax"/>
        </c:scaling>
        <c:delete val="1"/>
        <c:axPos val="l"/>
        <c:numFmt formatCode="General" sourceLinked="1"/>
        <c:majorTickMark val="none"/>
        <c:minorTickMark val="none"/>
        <c:tickLblPos val="nextTo"/>
        <c:crossAx val="361050440"/>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88805D76205F46ADBC12780B43A165" ma:contentTypeVersion="0" ma:contentTypeDescription="Create a new document." ma:contentTypeScope="" ma:versionID="2c2b9220d0b416dc59f0f003a0a00e6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ACED7A-17BE-4A24-BAB2-4E7F9E9624C6}"/>
</file>

<file path=customXml/itemProps2.xml><?xml version="1.0" encoding="utf-8"?>
<ds:datastoreItem xmlns:ds="http://schemas.openxmlformats.org/officeDocument/2006/customXml" ds:itemID="{D13D7712-2D4C-436C-80F0-CB1B88C4F724}"/>
</file>

<file path=customXml/itemProps3.xml><?xml version="1.0" encoding="utf-8"?>
<ds:datastoreItem xmlns:ds="http://schemas.openxmlformats.org/officeDocument/2006/customXml" ds:itemID="{9EA2A29F-6E80-49F7-8940-D11F7E73FB69}"/>
</file>

<file path=docProps/app.xml><?xml version="1.0" encoding="utf-8"?>
<Properties xmlns="http://schemas.openxmlformats.org/officeDocument/2006/extended-properties" xmlns:vt="http://schemas.openxmlformats.org/officeDocument/2006/docPropsVTypes">
  <Template>Normal.dotm</Template>
  <TotalTime>3</TotalTime>
  <Pages>4</Pages>
  <Words>438</Words>
  <Characters>2499</Characters>
  <Application>Microsoft Office Word</Application>
  <DocSecurity>0</DocSecurity>
  <Lines>20</Lines>
  <Paragraphs>5</Paragraphs>
  <ScaleCrop>false</ScaleCrop>
  <Company>Contoso</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Dehenne</dc:creator>
  <cp:keywords/>
  <dc:description/>
  <cp:lastModifiedBy>Bryon Mascher</cp:lastModifiedBy>
  <cp:revision>2</cp:revision>
  <dcterms:created xsi:type="dcterms:W3CDTF">2012-10-24T20:25:00Z</dcterms:created>
  <dcterms:modified xsi:type="dcterms:W3CDTF">2015-01-15T22:28:00Z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0x0101001288805D76205F46ADBC12780B43A165</vt:lpwstr>
  </property>
</Properties>
</file>