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charts/style1.xml" ContentType="application/vnd.ms-office.chartstyle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15" w:rsidRDefault="004F5518">
      <w:pPr>
        <w:pStyle w:val="Title"/>
      </w:pPr>
      <w:r>
        <w:t>Five Year Vision</w:t>
      </w:r>
    </w:p>
    <w:p w:rsidR="004F5518" w:rsidRDefault="004F5518" w:rsidP="004F5518"/>
    <w:p w:rsidR="004F5518" w:rsidRDefault="004F5518" w:rsidP="004F5518">
      <w:pPr>
        <w:jc w:val="right"/>
      </w:pPr>
      <w:r>
        <w:t>Anne Wallace</w:t>
      </w:r>
    </w:p>
    <w:p w:rsidR="004F5518" w:rsidRPr="004F5518" w:rsidRDefault="004F5518" w:rsidP="004F5518">
      <w:pPr>
        <w:jc w:val="right"/>
      </w:pPr>
    </w:p>
    <w:p w:rsidR="009E798F" w:rsidRPr="009E798F" w:rsidRDefault="00225C56" w:rsidP="009E798F">
      <w:pPr>
        <w:pStyle w:val="Heading1"/>
      </w:pPr>
      <w:r>
        <w:rPr>
          <w:color w:val="1B587C" w:themeColor="accent3"/>
        </w:rPr>
        <w:t>Long-Term Project Costs Cataloged:  Done</w:t>
      </w:r>
    </w:p>
    <w:p w:rsidR="009E798F" w:rsidRPr="00225C56" w:rsidRDefault="00225C56">
      <w:pPr>
        <w:rPr>
          <w:noProof/>
          <w:sz w:val="28"/>
          <w:lang w:eastAsia="en-US"/>
        </w:rPr>
      </w:pPr>
      <w:r>
        <w:rPr>
          <w:noProof/>
          <w:sz w:val="28"/>
          <w:lang w:eastAsia="en-US"/>
        </w:rPr>
        <w:t>Lifts and other Large Equipment</w:t>
      </w:r>
    </w:p>
    <w:p w:rsidR="009E798F" w:rsidRPr="00225C56" w:rsidRDefault="00225C56">
      <w:pPr>
        <w:rPr>
          <w:sz w:val="28"/>
        </w:rPr>
      </w:pPr>
      <w:r>
        <w:rPr>
          <w:sz w:val="28"/>
        </w:rPr>
        <w:t>Streamline Financial Reports Process</w:t>
      </w:r>
    </w:p>
    <w:p w:rsidR="009E798F" w:rsidRPr="00225C56" w:rsidRDefault="00225C56">
      <w:pPr>
        <w:rPr>
          <w:sz w:val="28"/>
        </w:rPr>
      </w:pPr>
      <w:r>
        <w:rPr>
          <w:sz w:val="28"/>
        </w:rPr>
        <w:t>Customer Requests</w:t>
      </w:r>
    </w:p>
    <w:p w:rsidR="00445B15" w:rsidRDefault="00445B15"/>
    <w:p w:rsidR="009E798F" w:rsidRPr="00225C56" w:rsidRDefault="009E798F" w:rsidP="009E798F">
      <w:pPr>
        <w:pStyle w:val="Heading1"/>
        <w:rPr>
          <w:color w:val="1B587C" w:themeColor="accent3"/>
        </w:rPr>
      </w:pPr>
      <w:r w:rsidRPr="00225C56">
        <w:rPr>
          <w:color w:val="1B587C" w:themeColor="accent3"/>
        </w:rPr>
        <w:t>A</w:t>
      </w:r>
      <w:r w:rsidR="00225C56">
        <w:rPr>
          <w:color w:val="1B587C" w:themeColor="accent3"/>
        </w:rPr>
        <w:t>nalyze Long Term Costs</w:t>
      </w:r>
      <w:r w:rsidRPr="00225C56">
        <w:rPr>
          <w:color w:val="1B587C" w:themeColor="accent3"/>
        </w:rPr>
        <w:t xml:space="preserve">: </w:t>
      </w:r>
      <w:r w:rsidR="00225C56">
        <w:rPr>
          <w:color w:val="1B587C" w:themeColor="accent3"/>
        </w:rPr>
        <w:t>NOT STARTED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Become Independent of Outside Researchers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Streamline Financial Reports Process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International Sales Goals?</w:t>
      </w:r>
    </w:p>
    <w:p w:rsidR="009E798F" w:rsidRDefault="009E798F" w:rsidP="009E798F">
      <w:pPr>
        <w:rPr>
          <w:sz w:val="28"/>
        </w:rPr>
      </w:pPr>
    </w:p>
    <w:p w:rsidR="009E798F" w:rsidRPr="00225C56" w:rsidRDefault="009E798F" w:rsidP="009E798F">
      <w:pPr>
        <w:pStyle w:val="Heading1"/>
        <w:rPr>
          <w:color w:val="1B587C" w:themeColor="accent3"/>
        </w:rPr>
      </w:pPr>
      <w:r w:rsidRPr="00225C56">
        <w:rPr>
          <w:color w:val="1B587C" w:themeColor="accent3"/>
        </w:rPr>
        <w:t xml:space="preserve">Check </w:t>
      </w:r>
      <w:r w:rsidR="00225C56">
        <w:rPr>
          <w:color w:val="1B587C" w:themeColor="accent3"/>
        </w:rPr>
        <w:t>Short Term Budgeting</w:t>
      </w:r>
      <w:r w:rsidRPr="00225C56">
        <w:rPr>
          <w:color w:val="1B587C" w:themeColor="accent3"/>
        </w:rPr>
        <w:t xml:space="preserve">: </w:t>
      </w:r>
      <w:r w:rsidR="00225C56">
        <w:rPr>
          <w:color w:val="1B587C" w:themeColor="accent3"/>
        </w:rPr>
        <w:t>In Progress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Budgets: Over Budget by 12% Avg.</w:t>
      </w:r>
    </w:p>
    <w:p w:rsidR="009E798F" w:rsidRDefault="00225C56" w:rsidP="009E798F">
      <w:pPr>
        <w:rPr>
          <w:sz w:val="28"/>
        </w:rPr>
      </w:pPr>
      <w:r>
        <w:rPr>
          <w:sz w:val="28"/>
        </w:rPr>
        <w:t>Customer Requests</w:t>
      </w:r>
    </w:p>
    <w:p w:rsidR="00225C56" w:rsidRPr="009E798F" w:rsidRDefault="00225C56" w:rsidP="009E798F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C9D6A7E" wp14:editId="6E0B598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25C56" w:rsidRPr="009E79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8F"/>
    <w:rsid w:val="00225C56"/>
    <w:rsid w:val="00445B15"/>
    <w:rsid w:val="004F5518"/>
    <w:rsid w:val="00945457"/>
    <w:rsid w:val="009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26832-8802-4DDD-B0CD-D042789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Litware Expense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layout>
        <c:manualLayout>
          <c:xMode val="edge"/>
          <c:yMode val="edge"/>
          <c:x val="5.3527777777777785E-2"/>
          <c:y val="0.800925925925925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5871232"/>
        <c:axId val="355876720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870056"/>
        <c:axId val="355871624"/>
      </c:lineChart>
      <c:catAx>
        <c:axId val="35587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876720"/>
        <c:crosses val="autoZero"/>
        <c:auto val="1"/>
        <c:lblAlgn val="ctr"/>
        <c:lblOffset val="100"/>
        <c:noMultiLvlLbl val="0"/>
      </c:catAx>
      <c:valAx>
        <c:axId val="35587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871232"/>
        <c:crosses val="autoZero"/>
        <c:crossBetween val="between"/>
      </c:valAx>
      <c:valAx>
        <c:axId val="355871624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870056"/>
        <c:crosses val="max"/>
        <c:crossBetween val="between"/>
      </c:valAx>
      <c:catAx>
        <c:axId val="355870056"/>
        <c:scaling>
          <c:orientation val="minMax"/>
        </c:scaling>
        <c:delete val="1"/>
        <c:axPos val="b"/>
        <c:majorTickMark val="none"/>
        <c:minorTickMark val="none"/>
        <c:tickLblPos val="nextTo"/>
        <c:crossAx val="355871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476290463692037"/>
          <c:y val="8.6804461942257272E-2"/>
          <c:w val="0.818251968503937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D3A43DD6AA74EABBEAFBE3281A7A3" ma:contentTypeVersion="3" ma:contentTypeDescription="Create a new document." ma:contentTypeScope="" ma:versionID="a5486d9ab5539ca9795287928fb035f4">
  <xsd:schema xmlns:xsd="http://www.w3.org/2001/XMLSchema" xmlns:xs="http://www.w3.org/2001/XMLSchema" xmlns:p="http://schemas.microsoft.com/office/2006/metadata/properties" xmlns:ns2="faffc9bb-99cb-4fe6-8396-24085ed6aa3f" targetNamespace="http://schemas.microsoft.com/office/2006/metadata/properties" ma:root="true" ma:fieldsID="ed9f00b8125c3925f041f48969597135" ns2:_="">
    <xsd:import namespace="faffc9bb-99cb-4fe6-8396-24085ed6a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fc9bb-99cb-4fe6-8396-24085ed6a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A85C22-A20B-4765-A79E-E54637BD764C}"/>
</file>

<file path=customXml/itemProps2.xml><?xml version="1.0" encoding="utf-8"?>
<ds:datastoreItem xmlns:ds="http://schemas.openxmlformats.org/officeDocument/2006/customXml" ds:itemID="{0938F06C-484C-47F9-9F96-A8EC0A972483}"/>
</file>

<file path=customXml/itemProps3.xml><?xml version="1.0" encoding="utf-8"?>
<ds:datastoreItem xmlns:ds="http://schemas.openxmlformats.org/officeDocument/2006/customXml" ds:itemID="{E39057A6-F3E2-4432-8E89-194F9B9EBF7C}"/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Linda Kemper</cp:lastModifiedBy>
  <cp:revision>4</cp:revision>
  <dcterms:created xsi:type="dcterms:W3CDTF">2012-10-23T20:49:00Z</dcterms:created>
  <dcterms:modified xsi:type="dcterms:W3CDTF">2015-08-12T00:19:00Z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0x010100568D3A43DD6AA74EABBEAFBE3281A7A3</vt:lpwstr>
  </property>
</Properties>
</file>