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622" w:rsidRDefault="0032646F">
      <w:r>
        <w:t>Grad Project Source List</w:t>
      </w:r>
    </w:p>
    <w:p w:rsidR="0032646F" w:rsidRDefault="0032646F">
      <w:r>
        <w:t xml:space="preserve">Point: </w:t>
      </w:r>
      <w:proofErr w:type="spellStart"/>
      <w:r>
        <w:t>Blinkit</w:t>
      </w:r>
      <w:proofErr w:type="spellEnd"/>
      <w:r>
        <w:t xml:space="preserve"> is looking to expand in product categories</w:t>
      </w:r>
    </w:p>
    <w:p w:rsidR="0032646F" w:rsidRDefault="0032646F">
      <w:hyperlink r:id="rId5" w:history="1">
        <w:r>
          <w:rPr>
            <w:rStyle w:val="Hyperlink"/>
          </w:rPr>
          <w:t>d9c290cd23764a09789769c39682276a_1746094084.pdf</w:t>
        </w:r>
      </w:hyperlink>
    </w:p>
    <w:p w:rsidR="0032646F" w:rsidRDefault="0032646F">
      <w:r>
        <w:t xml:space="preserve">. Assortment expansion - In Delhi NCR, we now offer close to 80k SKUs, versus about 50k+ in the next seven cities and 20k beyond the top eight. Even within Delhi NCR, this depth is limited to select </w:t>
      </w:r>
      <w:proofErr w:type="spellStart"/>
      <w:r>
        <w:t>neighbourhoods</w:t>
      </w:r>
      <w:proofErr w:type="spellEnd"/>
      <w:r>
        <w:t>. Broader selection consistently drives higher retention, wallet share, and NAOV - we see this clearly in the data. The headroom to expand both breadth and depth across all cities is significant. In the top eight cities specifically, we expect this to be a primary driver of store additions going forward.</w:t>
      </w:r>
    </w:p>
    <w:p w:rsidR="0032646F" w:rsidRDefault="0032646F">
      <w:hyperlink r:id="rId6" w:history="1">
        <w:r>
          <w:rPr>
            <w:rStyle w:val="Hyperlink"/>
          </w:rPr>
          <w:t>Eternal_Shareholders_Letter_Q4FY26_Results.pdf</w:t>
        </w:r>
      </w:hyperlink>
    </w:p>
    <w:p w:rsidR="0032646F" w:rsidRDefault="0032646F"/>
    <w:p w:rsidR="0032646F" w:rsidRDefault="0032646F">
      <w:r>
        <w:t>Product Category</w:t>
      </w:r>
    </w:p>
    <w:p w:rsidR="0032646F" w:rsidRDefault="0032646F">
      <w:hyperlink r:id="rId7" w:history="1">
        <w:proofErr w:type="spellStart"/>
        <w:r>
          <w:rPr>
            <w:rStyle w:val="Hyperlink"/>
          </w:rPr>
          <w:t>Blinkit</w:t>
        </w:r>
        <w:proofErr w:type="spellEnd"/>
        <w:r>
          <w:rPr>
            <w:rStyle w:val="Hyperlink"/>
          </w:rPr>
          <w:t xml:space="preserve"> | Eternal</w:t>
        </w:r>
      </w:hyperlink>
    </w:p>
    <w:p w:rsidR="009A216A" w:rsidRDefault="009A216A"/>
    <w:p w:rsidR="009A216A" w:rsidRDefault="009A216A">
      <w:r>
        <w:t>Research on cross product category</w:t>
      </w:r>
    </w:p>
    <w:p w:rsidR="009A216A" w:rsidRDefault="009A216A">
      <w:hyperlink r:id="rId8" w:history="1">
        <w:proofErr w:type="spellStart"/>
        <w:r>
          <w:rPr>
            <w:rStyle w:val="Hyperlink"/>
          </w:rPr>
          <w:t>Multicategory</w:t>
        </w:r>
        <w:proofErr w:type="spellEnd"/>
        <w:r>
          <w:rPr>
            <w:rStyle w:val="Hyperlink"/>
          </w:rPr>
          <w:t xml:space="preserve"> purchase behavior: basket choice, shopping frequency, and promotional analysis - </w:t>
        </w:r>
        <w:proofErr w:type="spellStart"/>
        <w:r>
          <w:rPr>
            <w:rStyle w:val="Hyperlink"/>
          </w:rPr>
          <w:t>ScienceDirect</w:t>
        </w:r>
        <w:proofErr w:type="spellEnd"/>
      </w:hyperlink>
    </w:p>
    <w:p w:rsidR="009A216A" w:rsidRPr="009A216A" w:rsidRDefault="009A216A" w:rsidP="009A21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bookmarkStart w:id="0" w:name="_GoBack"/>
      <w:r w:rsidRPr="009A21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Improved Retention and Satisfaction:</w:t>
      </w:r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Analyzing </w:t>
      </w:r>
      <w:proofErr w:type="spellStart"/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>multicategory</w:t>
      </w:r>
      <w:proofErr w:type="spellEnd"/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purchasing patterns allows retailers to uncover opportunities for targeted cross-selling and better product placement, which are directly linked to </w:t>
      </w:r>
      <w:r w:rsidRPr="009A21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improved customer retention</w:t>
      </w:r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. Identifying optimal bundle promotions based on these cross-category relationships is specifically noted for its potential to </w:t>
      </w:r>
      <w:r w:rsidRPr="009A21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enhance customer satisfaction and loyalty</w:t>
      </w:r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>.</w:t>
      </w:r>
    </w:p>
    <w:p w:rsidR="009A216A" w:rsidRPr="009A216A" w:rsidRDefault="009A216A" w:rsidP="009A21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</w:rPr>
      </w:pPr>
      <w:r w:rsidRPr="009A21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Driving Store Traffic:</w:t>
      </w:r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 comprehensive approach that integrates basket choice with </w:t>
      </w:r>
      <w:r w:rsidRPr="009A21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</w:rPr>
        <w:t>shopping frequency</w:t>
      </w:r>
      <w:r w:rsidRPr="009A216A">
        <w:rPr>
          <w:rFonts w:ascii="Google Sans Text" w:eastAsia="Times New Roman" w:hAnsi="Google Sans Text" w:cs="Times New Roman"/>
          <w:color w:val="303030"/>
          <w:sz w:val="21"/>
          <w:szCs w:val="21"/>
        </w:rPr>
        <w:t xml:space="preserve"> allows retailers to see how promotions in one category influence the likelihood of a customer visiting the store at all. The sources suggest that promotional activity in preferred categories often induces more frequent store visits, effectively acting as a driver for store-level patronage.</w:t>
      </w:r>
    </w:p>
    <w:bookmarkEnd w:id="0"/>
    <w:p w:rsidR="009A216A" w:rsidRDefault="009A216A"/>
    <w:sectPr w:rsidR="009A2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E0304"/>
    <w:multiLevelType w:val="multilevel"/>
    <w:tmpl w:val="C35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6F"/>
    <w:rsid w:val="00124C52"/>
    <w:rsid w:val="0032646F"/>
    <w:rsid w:val="00684A38"/>
    <w:rsid w:val="008843EF"/>
    <w:rsid w:val="009A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002B"/>
  <w15:chartTrackingRefBased/>
  <w15:docId w15:val="{21BCF5B1-63C2-41BB-A73F-C70621EA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646F"/>
    <w:rPr>
      <w:color w:val="0000FF"/>
      <w:u w:val="single"/>
    </w:rPr>
  </w:style>
  <w:style w:type="character" w:customStyle="1" w:styleId="ng-star-inserted">
    <w:name w:val="ng-star-inserted"/>
    <w:basedOn w:val="DefaultParagraphFont"/>
    <w:rsid w:val="009A2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224359250006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ternal.com/our-businesses/blink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.zmtcdn.com/investor-relations/Eternal_Shareholders_Letter_Q4FY26_Results.pdf" TargetMode="External"/><Relationship Id="rId5" Type="http://schemas.openxmlformats.org/officeDocument/2006/relationships/hyperlink" Target="https://b.zmtcdn.com/investor-relations/d9c290cd23764a09789769c39682276a_1746094084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2026-07-19T17:39:00Z</dcterms:created>
  <dcterms:modified xsi:type="dcterms:W3CDTF">2026-07-19T19:24:00Z</dcterms:modified>
</cp:coreProperties>
</file>