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2"/>
              <w:left w:val="none" w:color="FFFFFF" w:sz="0"/>
              <w:bottom w:val="single" w:color="C9A84C" w:sz="12"/>
              <w:right w:val="none" w:color="FFFFFF" w:sz="0"/>
            </w:tcBorders>
            <w:shd w:fill="0A1628" w:val="clear"/>
            <w:tcMar>
              <w:top w:type="dxa" w:w="280"/>
              <w:left w:type="dxa" w:w="400"/>
              <w:bottom w:type="dxa" w:w="280"/>
              <w:right w:type="dxa" w:w="400"/>
            </w:tcMar>
          </w:tcPr>
          <w:p>
            <w:pPr>
              <w:spacing w:after="80" w:before="0"/>
              <w:jc w:val="center"/>
            </w:pPr>
            <w:r>
              <w:rPr>
                <w:rFonts w:ascii="Arial" w:cs="Arial" w:eastAsia="Arial" w:hAnsi="Arial"/>
                <w:color w:val="C9A84C"/>
                <w:sz w:val="24"/>
                <w:szCs w:val="24"/>
              </w:rPr>
              <w:t xml:space="preserve">عن المؤلف</w:t>
            </w:r>
          </w:p>
          <w:p>
            <w:pPr>
              <w:jc w:val="center"/>
            </w:pPr>
            <w:r>
              <w:rPr>
                <w:rFonts w:ascii="Arial" w:cs="Arial" w:eastAsia="Arial" w:hAnsi="Arial"/>
                <w:b/>
                <w:bCs/>
                <w:color w:val="FFFFFF"/>
                <w:sz w:val="44"/>
                <w:szCs w:val="44"/>
              </w:rPr>
              <w:t xml:space="preserve">الدكتور خالد عبد النعيم فندي</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6"/>
              <w:left w:val="none" w:color="FFFFFF" w:sz="0"/>
              <w:bottom w:val="single" w:color="C9A84C" w:sz="6"/>
              <w:right w:val="none" w:color="FFFFFF" w:sz="0"/>
            </w:tcBorders>
            <w:shd w:fill="F5E6C0" w:val="clear"/>
            <w:tcMar>
              <w:top w:type="dxa" w:w="200"/>
              <w:left w:type="dxa" w:w="400"/>
              <w:bottom w:type="dxa" w:w="200"/>
              <w:right w:type="dxa" w:w="400"/>
            </w:tcMar>
          </w:tcPr>
          <w:p>
            <w:pPr>
              <w:jc w:val="center"/>
            </w:pPr>
            <w:r>
              <w:rPr>
                <w:rFonts w:ascii="Arial" w:cs="Arial" w:eastAsia="Arial" w:hAnsi="Arial"/>
                <w:b/>
                <w:bCs/>
                <w:i/>
                <w:iCs/>
                <w:color w:val="0A1628"/>
                <w:sz w:val="26"/>
                <w:szCs w:val="26"/>
              </w:rPr>
              <w:t xml:space="preserve">ثلاثون عاماً مع الماء والأرض — والقرآن يُفسِّر ما رآه العلم</w:t>
            </w:r>
          </w:p>
        </w:tc>
      </w:tr>
    </w:tbl>
    <w:p>
      <w:pPr>
        <w:spacing w:after="0" w:before="200"/>
      </w:pPr>
      <w:r>
        <w:t xml:space="preserve"/>
      </w:r>
    </w:p>
    <w:p>
      <w:pPr>
        <w:spacing w:after="80" w:before="80"/>
        <w:jc w:val="both"/>
      </w:pPr>
      <w:r>
        <w:rPr>
          <w:rFonts w:ascii="Arial" w:cs="Arial" w:eastAsia="Arial" w:hAnsi="Arial"/>
          <w:b w:val="false"/>
          <w:bCs w:val="false"/>
          <w:color w:val="1A1A2E"/>
          <w:sz w:val="22"/>
          <w:szCs w:val="22"/>
        </w:rPr>
        <w:t xml:space="preserve">وُلد خالد عبد النعيم فندي في صعيد مصر، وأمضى ثلاثة عقود من حياته يدرس الماء في أشكاله المختلفة — في أنابيب المصانع وأعماق التربة وعلى ضفاف النيل. لم يكن يبحث عن الشهرة، بل كان يبحث عن الحقيقة.</w:t>
      </w:r>
    </w:p>
    <w:p>
      <w:pPr>
        <w:spacing w:after="0" w:before="100"/>
      </w:pPr>
      <w:r>
        <w:t xml:space="preserve"/>
      </w:r>
    </w:p>
    <w:p>
      <w:pPr>
        <w:spacing w:after="80" w:before="80"/>
        <w:jc w:val="both"/>
      </w:pPr>
      <w:r>
        <w:rPr>
          <w:rFonts w:ascii="Arial" w:cs="Arial" w:eastAsia="Arial" w:hAnsi="Arial"/>
          <w:b w:val="false"/>
          <w:bCs w:val="false"/>
          <w:color w:val="1A1A2E"/>
          <w:sz w:val="22"/>
          <w:szCs w:val="22"/>
        </w:rPr>
        <w:t xml:space="preserve">تخرّج في كلية الهندسة وعمل معيداً في جامعة أسيوط قبل أن تُقوده مسيرته إلى المملكة العربية السعودية، حيث أثبت منتجه في معالجة المياه أنه يتفوق على المنافس الهندي المستورد في أشد ظروف الأزمة. عاد إلى مصر يحمل خبرة لا تُشترى بالمال، وستة براءات اختراع مسجلة تُجسّد سنوات من التجريب الصادق.</w:t>
      </w:r>
    </w:p>
    <w:p>
      <w:pPr>
        <w:spacing w:after="0" w:before="100"/>
      </w:pPr>
      <w:r>
        <w:t xml:space="preserve"/>
      </w:r>
    </w:p>
    <w:p>
      <w:pPr>
        <w:spacing w:after="80" w:before="80"/>
        <w:jc w:val="both"/>
      </w:pPr>
      <w:r>
        <w:rPr>
          <w:rFonts w:ascii="Arial" w:cs="Arial" w:eastAsia="Arial" w:hAnsi="Arial"/>
          <w:b w:val="false"/>
          <w:bCs w:val="false"/>
          <w:color w:val="1A1A2E"/>
          <w:sz w:val="22"/>
          <w:szCs w:val="22"/>
        </w:rPr>
        <w:t xml:space="preserve">لكن ما يُميّز خالد فندي ليس فقط براءات الاختراع ولا سنوات الخبرة. ما يُميّزه أنه مهندس يقرأ القرآن بعين من يعرف الماء والأرض والهواء — فيرى ما لا يراه غيره.</w:t>
      </w:r>
    </w:p>
    <w:p>
      <w:pPr>
        <w:spacing w:after="0" w:before="100"/>
      </w:pPr>
      <w:r>
        <w:t xml:space="preserve"/>
      </w:r>
    </w:p>
    <w:p>
      <w:pPr>
        <w:spacing w:after="80" w:before="80"/>
        <w:jc w:val="both"/>
      </w:pPr>
      <w:r>
        <w:rPr>
          <w:rFonts w:ascii="Arial" w:cs="Arial" w:eastAsia="Arial" w:hAnsi="Arial"/>
          <w:b w:val="false"/>
          <w:bCs w:val="false"/>
          <w:color w:val="1A1A2E"/>
          <w:sz w:val="22"/>
          <w:szCs w:val="22"/>
        </w:rPr>
        <w:t xml:space="preserve">حين قرأ «السَّمَاءِ ذَاتِ الرَّجْعِ» لم يرَ مجرد آية — رأى الغلاف الجوي بطبقاته الأربع. وحين قرأ «يَا أَرْضُ ابْلَعِي مَاءَكِ» لم يرَ مجرد وصف لطوفان — رأى الماء الأصيل في أعماق الوشاح الأرضي الذي اكتشفه العلم عام 2014. هذا الكتاب هو ثمرة تلك الرؤية.</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0A1628" w:val="clear"/>
            <w:tcMar>
              <w:top w:type="dxa" w:w="80"/>
              <w:left w:type="dxa" w:w="160"/>
              <w:bottom w:type="dxa" w:w="80"/>
              <w:right w:type="dxa" w:w="160"/>
            </w:tcMar>
          </w:tcPr>
          <w:p>
            <w:pPr>
              <w:jc w:val="center"/>
            </w:pPr>
            <w:r>
              <w:rPr>
                <w:rFonts w:ascii="Arial" w:cs="Arial" w:eastAsia="Arial" w:hAnsi="Arial"/>
                <w:b/>
                <w:bCs/>
                <w:color w:val="FFFFFF"/>
                <w:sz w:val="21"/>
                <w:szCs w:val="21"/>
              </w:rPr>
              <w:t xml:space="preserve">المجال</w:t>
            </w:r>
          </w:p>
        </w:tc>
        <w:tc>
          <w:tcPr>
            <w:tcW w:type="dxa" w:w="6826"/>
            <w:tcBorders>
              <w:top w:val="single" w:color="DDDDDD" w:sz="1"/>
              <w:left w:val="single" w:color="DDDDDD" w:sz="1"/>
              <w:bottom w:val="single" w:color="DDDDDD" w:sz="1"/>
              <w:right w:val="single" w:color="DDDDDD" w:sz="1"/>
            </w:tcBorders>
            <w:shd w:fill="0A1628" w:val="clear"/>
            <w:tcMar>
              <w:top w:type="dxa" w:w="80"/>
              <w:left w:type="dxa" w:w="160"/>
              <w:bottom w:type="dxa" w:w="80"/>
              <w:right w:type="dxa" w:w="160"/>
            </w:tcMar>
          </w:tcPr>
          <w:p>
            <w:pPr>
              <w:jc w:val="center"/>
            </w:pPr>
            <w:r>
              <w:rPr>
                <w:rFonts w:ascii="Arial" w:cs="Arial" w:eastAsia="Arial" w:hAnsi="Arial"/>
                <w:b/>
                <w:bCs/>
                <w:color w:val="FFFFFF"/>
                <w:sz w:val="21"/>
                <w:szCs w:val="21"/>
              </w:rPr>
              <w:t xml:space="preserve">الإنجاز</w:t>
            </w:r>
          </w:p>
        </w:tc>
      </w:tr>
      <w:tr>
        <w:tc>
          <w:tcPr>
            <w:tcW w:type="dxa" w:w="2200"/>
            <w:tcBorders>
              <w:top w:val="single" w:color="DDDDDD" w:sz="1"/>
              <w:left w:val="single" w:color="DDDDDD" w:sz="1"/>
              <w:bottom w:val="single" w:color="DDDDDD" w:sz="1"/>
              <w:right w:val="single" w:color="DDDDDD" w:sz="1"/>
            </w:tcBorders>
            <w:shd w:fill="E0F4F4" w:val="clear"/>
            <w:tcMar>
              <w:top w:type="dxa" w:w="80"/>
              <w:left w:type="dxa" w:w="160"/>
              <w:bottom w:type="dxa" w:w="80"/>
              <w:right w:type="dxa" w:w="160"/>
            </w:tcMar>
          </w:tcPr>
          <w:p>
            <w:r>
              <w:rPr>
                <w:rFonts w:ascii="Arial" w:cs="Arial" w:eastAsia="Arial" w:hAnsi="Arial"/>
                <w:b/>
                <w:bCs/>
                <w:color w:val="0B6E6E"/>
                <w:sz w:val="20"/>
                <w:szCs w:val="20"/>
              </w:rPr>
              <w:t xml:space="preserve">الاختراع والبحث العلمي</w:t>
            </w:r>
          </w:p>
        </w:tc>
        <w:tc>
          <w:tcPr>
            <w:tcW w:type="dxa" w:w="68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6 براءات اختراع مسجلة في معالجة المياه والبيئة والمواد</w:t>
            </w:r>
          </w:p>
        </w:tc>
      </w:tr>
      <w:tr>
        <w:tc>
          <w:tcPr>
            <w:tcW w:type="dxa" w:w="2200"/>
            <w:tcBorders>
              <w:top w:val="single" w:color="DDDDDD" w:sz="1"/>
              <w:left w:val="single" w:color="DDDDDD" w:sz="1"/>
              <w:bottom w:val="single" w:color="DDDDDD" w:sz="1"/>
              <w:right w:val="single" w:color="DDDDDD" w:sz="1"/>
            </w:tcBorders>
            <w:shd w:fill="E0F4F4" w:val="clear"/>
            <w:tcMar>
              <w:top w:type="dxa" w:w="80"/>
              <w:left w:type="dxa" w:w="160"/>
              <w:bottom w:type="dxa" w:w="80"/>
              <w:right w:type="dxa" w:w="160"/>
            </w:tcMar>
          </w:tcPr>
          <w:p>
            <w:r>
              <w:rPr>
                <w:rFonts w:ascii="Arial" w:cs="Arial" w:eastAsia="Arial" w:hAnsi="Arial"/>
                <w:b/>
                <w:bCs/>
                <w:color w:val="0B6E6E"/>
                <w:sz w:val="20"/>
                <w:szCs w:val="20"/>
              </w:rPr>
              <w:t xml:space="preserve">التعليم والأكاديمية</w:t>
            </w:r>
          </w:p>
        </w:tc>
        <w:tc>
          <w:tcPr>
            <w:tcW w:type="dxa" w:w="68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معيد سابق بكلية الهندسة — جامعة أسيوط</w:t>
            </w:r>
          </w:p>
        </w:tc>
      </w:tr>
      <w:tr>
        <w:tc>
          <w:tcPr>
            <w:tcW w:type="dxa" w:w="2200"/>
            <w:tcBorders>
              <w:top w:val="single" w:color="DDDDDD" w:sz="1"/>
              <w:left w:val="single" w:color="DDDDDD" w:sz="1"/>
              <w:bottom w:val="single" w:color="DDDDDD" w:sz="1"/>
              <w:right w:val="single" w:color="DDDDDD" w:sz="1"/>
            </w:tcBorders>
            <w:shd w:fill="E0F4F4" w:val="clear"/>
            <w:tcMar>
              <w:top w:type="dxa" w:w="80"/>
              <w:left w:type="dxa" w:w="160"/>
              <w:bottom w:type="dxa" w:w="80"/>
              <w:right w:type="dxa" w:w="160"/>
            </w:tcMar>
          </w:tcPr>
          <w:p>
            <w:r>
              <w:rPr>
                <w:rFonts w:ascii="Arial" w:cs="Arial" w:eastAsia="Arial" w:hAnsi="Arial"/>
                <w:b/>
                <w:bCs/>
                <w:color w:val="0B6E6E"/>
                <w:sz w:val="20"/>
                <w:szCs w:val="20"/>
              </w:rPr>
              <w:t xml:space="preserve">الخبرة الصناعية</w:t>
            </w:r>
          </w:p>
        </w:tc>
        <w:tc>
          <w:tcPr>
            <w:tcW w:type="dxa" w:w="68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أكثر من 30 عاماً في منظومات معالجة المياه في مصر والسعودية</w:t>
            </w:r>
          </w:p>
        </w:tc>
      </w:tr>
      <w:tr>
        <w:tc>
          <w:tcPr>
            <w:tcW w:type="dxa" w:w="2200"/>
            <w:tcBorders>
              <w:top w:val="single" w:color="DDDDDD" w:sz="1"/>
              <w:left w:val="single" w:color="DDDDDD" w:sz="1"/>
              <w:bottom w:val="single" w:color="DDDDDD" w:sz="1"/>
              <w:right w:val="single" w:color="DDDDDD" w:sz="1"/>
            </w:tcBorders>
            <w:shd w:fill="E0F4F4" w:val="clear"/>
            <w:tcMar>
              <w:top w:type="dxa" w:w="80"/>
              <w:left w:type="dxa" w:w="160"/>
              <w:bottom w:type="dxa" w:w="80"/>
              <w:right w:type="dxa" w:w="160"/>
            </w:tcMar>
          </w:tcPr>
          <w:p>
            <w:r>
              <w:rPr>
                <w:rFonts w:ascii="Arial" w:cs="Arial" w:eastAsia="Arial" w:hAnsi="Arial"/>
                <w:b/>
                <w:bCs/>
                <w:color w:val="0B6E6E"/>
                <w:sz w:val="20"/>
                <w:szCs w:val="20"/>
              </w:rPr>
              <w:t xml:space="preserve">الابتكار البيئي</w:t>
            </w:r>
          </w:p>
        </w:tc>
        <w:tc>
          <w:tcPr>
            <w:tcW w:type="dxa" w:w="68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مؤسس أونست فندي للابتكارات والحلول الرقمية (2009)</w:t>
            </w:r>
          </w:p>
        </w:tc>
      </w:tr>
      <w:tr>
        <w:tc>
          <w:tcPr>
            <w:tcW w:type="dxa" w:w="2200"/>
            <w:tcBorders>
              <w:top w:val="single" w:color="DDDDDD" w:sz="1"/>
              <w:left w:val="single" w:color="DDDDDD" w:sz="1"/>
              <w:bottom w:val="single" w:color="DDDDDD" w:sz="1"/>
              <w:right w:val="single" w:color="DDDDDD" w:sz="1"/>
            </w:tcBorders>
            <w:shd w:fill="E0F4F4" w:val="clear"/>
            <w:tcMar>
              <w:top w:type="dxa" w:w="80"/>
              <w:left w:type="dxa" w:w="160"/>
              <w:bottom w:type="dxa" w:w="80"/>
              <w:right w:type="dxa" w:w="160"/>
            </w:tcMar>
          </w:tcPr>
          <w:p>
            <w:r>
              <w:rPr>
                <w:rFonts w:ascii="Arial" w:cs="Arial" w:eastAsia="Arial" w:hAnsi="Arial"/>
                <w:b/>
                <w:bCs/>
                <w:color w:val="0B6E6E"/>
                <w:sz w:val="20"/>
                <w:szCs w:val="20"/>
              </w:rPr>
              <w:t xml:space="preserve">البحث الميداني</w:t>
            </w:r>
          </w:p>
        </w:tc>
        <w:tc>
          <w:tcPr>
            <w:tcW w:type="dxa" w:w="68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دراسة ظاهرة ورد النيل وتأثيرها البيئي منذ 2006</w:t>
            </w:r>
          </w:p>
        </w:tc>
      </w:tr>
      <w:tr>
        <w:tc>
          <w:tcPr>
            <w:tcW w:type="dxa" w:w="2200"/>
            <w:tcBorders>
              <w:top w:val="single" w:color="DDDDDD" w:sz="1"/>
              <w:left w:val="single" w:color="DDDDDD" w:sz="1"/>
              <w:bottom w:val="single" w:color="DDDDDD" w:sz="1"/>
              <w:right w:val="single" w:color="DDDDDD" w:sz="1"/>
            </w:tcBorders>
            <w:shd w:fill="E0F4F4" w:val="clear"/>
            <w:tcMar>
              <w:top w:type="dxa" w:w="80"/>
              <w:left w:type="dxa" w:w="160"/>
              <w:bottom w:type="dxa" w:w="80"/>
              <w:right w:type="dxa" w:w="160"/>
            </w:tcMar>
          </w:tcPr>
          <w:p>
            <w:r>
              <w:rPr>
                <w:rFonts w:ascii="Arial" w:cs="Arial" w:eastAsia="Arial" w:hAnsi="Arial"/>
                <w:b/>
                <w:bCs/>
                <w:color w:val="0B6E6E"/>
                <w:sz w:val="20"/>
                <w:szCs w:val="20"/>
              </w:rPr>
              <w:t xml:space="preserve">المسؤولية المجتمعية</w:t>
            </w:r>
          </w:p>
        </w:tc>
        <w:tc>
          <w:tcPr>
            <w:tcW w:type="dxa" w:w="6826"/>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1A1A2E"/>
                <w:sz w:val="20"/>
                <w:szCs w:val="20"/>
              </w:rPr>
              <w:t xml:space="preserve">مؤسس مبادرة ورد الخير للتنمية المجتمعية (2007)</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C9A84C" w:val="clear"/>
          </w:tcPr>
          <w:p>
            <w:r>
              <w:t xml:space="preserve"/>
            </w:r>
          </w:p>
        </w:tc>
        <w:tc>
          <w:tcPr>
            <w:tcW w:type="dxa" w:w="8626"/>
            <w:tcBorders>
              <w:top w:val="none" w:color="FFFFFF" w:sz="0"/>
              <w:left w:val="single" w:color="C9A84C" w:sz="16"/>
              <w:bottom w:val="none" w:color="FFFFFF" w:sz="0"/>
              <w:right w:val="none" w:color="FFFFFF" w:sz="0"/>
            </w:tcBorders>
            <w:shd w:fill="F5E6C0" w:val="clear"/>
            <w:tcMar>
              <w:top w:type="dxa" w:w="200"/>
              <w:left w:type="dxa" w:w="280"/>
              <w:bottom w:type="dxa" w:w="200"/>
              <w:right w:type="dxa" w:w="200"/>
            </w:tcMar>
          </w:tcPr>
          <w:p>
            <w:pPr>
              <w:spacing w:after="100" w:before="0"/>
            </w:pPr>
            <w:r>
              <w:rPr>
                <w:rFonts w:ascii="Arial" w:cs="Arial" w:eastAsia="Arial" w:hAnsi="Arial"/>
                <w:b/>
                <w:bCs/>
                <w:color w:val="C9A84C"/>
                <w:sz w:val="24"/>
                <w:szCs w:val="24"/>
              </w:rPr>
              <w:t xml:space="preserve">رؤيته الفكرية</w:t>
            </w:r>
          </w:p>
          <w:p>
            <w:pPr>
              <w:spacing w:after="80" w:before="80"/>
              <w:jc w:val="both"/>
            </w:pPr>
            <w:r>
              <w:rPr>
                <w:rFonts w:ascii="Arial" w:cs="Arial" w:eastAsia="Arial" w:hAnsi="Arial"/>
                <w:b w:val="false"/>
                <w:bCs w:val="false"/>
                <w:color w:val="1A1A2E"/>
                <w:sz w:val="22"/>
                <w:szCs w:val="22"/>
              </w:rPr>
              <w:t xml:space="preserve">يرى خالد فندي أن العلم والإيمان ليسا خطّين متوازيين لا يلتقيان — بل هما طريقان يُفضيان إلى الحقيقة ذاتها. الأول يُجيب عن «كيف»، والثاني يُجيب عن «لماذا». وهذا الكتاب محاولة صادقة لقراءة «الكيف» العلمي في ضوء «اللماذا» القرآني — لا لإثبات القرآن بالعلم، بل لفهم الكون بعمق أكبر.</w:t>
            </w:r>
          </w:p>
        </w:tc>
      </w:tr>
    </w:tbl>
    <w:p>
      <w:pPr>
        <w:spacing w:after="0" w:before="200"/>
      </w:pPr>
      <w:r>
        <w:t xml:space="preserve"/>
      </w:r>
    </w:p>
    <w:p>
      <w:pPr>
        <w:pBdr>
          <w:bottom w:val="single" w:color="C9A84C" w:sz="6" w:space="1"/>
        </w:pBdr>
        <w:spacing w:after="120" w:before="120"/>
      </w:pPr>
    </w:p>
    <w:p>
      <w:pPr>
        <w:spacing w:after="0" w:before="100"/>
      </w:pPr>
      <w:r>
        <w:t xml:space="preserve"/>
      </w:r>
    </w:p>
    <w:p>
      <w:pPr>
        <w:jc w:val="center"/>
      </w:pPr>
      <w:r>
        <w:rPr>
          <w:rFonts w:ascii="Arial" w:cs="Arial" w:eastAsia="Arial" w:hAnsi="Arial"/>
          <w:i/>
          <w:iCs/>
          <w:color w:val="666666"/>
          <w:sz w:val="22"/>
          <w:szCs w:val="22"/>
        </w:rPr>
        <w:t xml:space="preserve">يقيم حالياً على جزيرة نيلية في صعيد مصر، حيث بدأت رحلته مع الماء — ولا تزال مستمرة.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2026-04-10T03:09:47.023Z</dcterms:created>
  <dcterms:modified xsi:type="dcterms:W3CDTF">2026-04-10T03:09:47.024Z</dcterms:modified>
</cp:coreProperties>
</file>

<file path=docProps/custom.xml><?xml version="1.0" encoding="utf-8"?>
<Properties xmlns="http://schemas.openxmlformats.org/officeDocument/2006/custom-properties" xmlns:vt="http://schemas.openxmlformats.org/officeDocument/2006/docPropsVTypes"/>
</file>