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Traditional Arabic" w:cs="Traditional Arabic" w:eastAsia="Traditional Arabic" w:hAnsi="Traditional Arabic"/>
          <w:b/>
          <w:bCs/>
          <w:color w:val="1A4731"/>
          <w:sz w:val="52"/>
          <w:szCs w:val="52"/>
        </w:rPr>
        <w:t xml:space="preserve">السيرة الذاتية الرسمية</w:t>
      </w:r>
    </w:p>
    <w:p>
      <w:pPr>
        <w:spacing w:after="80" w:before="0"/>
        <w:jc w:val="center"/>
      </w:pPr>
      <w:r>
        <w:rPr>
          <w:rFonts w:ascii="Arial" w:cs="Arial" w:eastAsia="Arial" w:hAnsi="Arial"/>
          <w:b/>
          <w:bCs/>
          <w:color w:val="8B6914"/>
          <w:sz w:val="40"/>
          <w:szCs w:val="40"/>
        </w:rPr>
        <w:t xml:space="preserve">Official Professional Biography</w:t>
      </w:r>
    </w:p>
    <w:p>
      <w:pPr>
        <w:pBdr>
          <w:bottom w:val="single" w:color="B8860B" w:sz="8" w:space="1"/>
        </w:pBdr>
        <w:spacing w:after="200" w:before="2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16"/>
              <w:left w:val="single" w:color="1A4731" w:sz="16"/>
              <w:bottom w:val="single" w:color="B8860B" w:sz="16"/>
              <w:right w:val="single" w:color="1A4731" w:sz="16"/>
            </w:tcBorders>
            <w:shd w:fill="1A4731" w:val="clear"/>
            <w:tcMar>
              <w:top w:type="dxa" w:w="240"/>
              <w:left w:type="dxa" w:w="400"/>
              <w:bottom w:type="dxa" w:w="240"/>
              <w:right w:type="dxa" w:w="400"/>
            </w:tcMar>
          </w:tcPr>
          <w:p>
            <w:pPr>
              <w:spacing w:after="80" w:before="0"/>
              <w:jc w:val="center"/>
            </w:pPr>
            <w:r>
              <w:rPr>
                <w:rFonts w:ascii="Traditional Arabic" w:cs="Traditional Arabic" w:eastAsia="Traditional Arabic" w:hAnsi="Traditional Arabic"/>
                <w:b/>
                <w:bCs/>
                <w:color w:val="FFFFFF"/>
                <w:sz w:val="56"/>
                <w:szCs w:val="56"/>
              </w:rPr>
              <w:t xml:space="preserve">د. خالد عبدالنعيم فندي</w:t>
            </w:r>
          </w:p>
          <w:p>
            <w:pPr>
              <w:spacing w:after="80" w:before="0"/>
              <w:jc w:val="center"/>
            </w:pPr>
            <w:r>
              <w:rPr>
                <w:rFonts w:ascii="Arial" w:cs="Arial" w:eastAsia="Arial" w:hAnsi="Arial"/>
                <w:b/>
                <w:bCs/>
                <w:color w:val="FFF8E7"/>
                <w:sz w:val="44"/>
                <w:szCs w:val="44"/>
              </w:rPr>
              <w:t xml:space="preserve">Dr. Khaled Abdulnaim Fendy</w:t>
            </w:r>
          </w:p>
          <w:p>
            <w:pPr>
              <w:spacing w:after="0" w:before="80"/>
              <w:jc w:val="center"/>
            </w:pPr>
            <w:r>
              <w:rPr>
                <w:rFonts w:ascii="Traditional Arabic" w:cs="Traditional Arabic" w:eastAsia="Traditional Arabic" w:hAnsi="Traditional Arabic"/>
                <w:color w:val="FFF8E7"/>
                <w:sz w:val="26"/>
                <w:szCs w:val="26"/>
              </w:rPr>
              <w:t xml:space="preserve">مخترع | باحث بيئي | رائد أعمال | مربٍّ ومُلهِم للشباب المخترعين</w:t>
            </w:r>
          </w:p>
          <w:p>
            <w:pPr>
              <w:jc w:val="center"/>
            </w:pPr>
            <w:r>
              <w:rPr>
                <w:rFonts w:ascii="Arial" w:cs="Arial" w:eastAsia="Arial" w:hAnsi="Arial"/>
                <w:color w:val="FFF8E7"/>
                <w:sz w:val="22"/>
                <w:szCs w:val="22"/>
              </w:rPr>
              <w:t xml:space="preserve">Inventor  |  Environmental Researcher  |  Entrepreneur  |  Mentor to Young Inventors</w:t>
            </w:r>
          </w:p>
        </w:tc>
      </w:tr>
    </w:tbl>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4731" w:val="clear"/>
            <w:tcMar>
              <w:top w:type="dxa" w:w="80"/>
              <w:left w:type="dxa" w:w="160"/>
              <w:bottom w:type="dxa" w:w="80"/>
              <w:right w:type="dxa" w:w="160"/>
            </w:tcMar>
          </w:tcPr>
          <w:p>
            <w:pPr>
              <w:jc w:val="center"/>
            </w:pPr>
            <w:r>
              <w:rPr>
                <w:rFonts w:ascii="Arial" w:cs="Arial" w:eastAsia="Arial" w:hAnsi="Arial"/>
                <w:b/>
                <w:bCs/>
                <w:color w:val="FFFFFF"/>
                <w:sz w:val="24"/>
                <w:szCs w:val="24"/>
              </w:rPr>
              <w:t xml:space="preserve">Details</w:t>
            </w:r>
          </w:p>
        </w:tc>
        <w:tc>
          <w:tcPr>
            <w:tcW w:type="dxa" w:w="4680"/>
            <w:tcBorders>
              <w:top w:val="single" w:color="CCCCCC" w:sz="1"/>
              <w:left w:val="single" w:color="CCCCCC" w:sz="1"/>
              <w:bottom w:val="single" w:color="CCCCCC" w:sz="1"/>
              <w:right w:val="single" w:color="CCCCCC" w:sz="1"/>
            </w:tcBorders>
            <w:shd w:fill="1A4731" w:val="clear"/>
            <w:tcMar>
              <w:top w:type="dxa" w:w="80"/>
              <w:left w:type="dxa" w:w="160"/>
              <w:bottom w:type="dxa" w:w="80"/>
              <w:right w:type="dxa" w:w="160"/>
            </w:tcMar>
          </w:tcPr>
          <w:p>
            <w:pPr>
              <w:jc w:val="right"/>
            </w:pPr>
            <w:r>
              <w:rPr>
                <w:rFonts w:ascii="Traditional Arabic" w:cs="Traditional Arabic" w:eastAsia="Traditional Arabic" w:hAnsi="Traditional Arabic"/>
                <w:b/>
                <w:bCs/>
                <w:color w:val="FFFFFF"/>
                <w:sz w:val="24"/>
                <w:szCs w:val="24"/>
              </w:rPr>
              <w:t xml:space="preserve">التفاصيل</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color w:val="2C2C2C"/>
                <w:sz w:val="20"/>
                <w:szCs w:val="20"/>
              </w:rPr>
              <w:t xml:space="preserve">Upper Egypt — Made in Upper Egypt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right"/>
            </w:pPr>
            <w:r>
              <w:rPr>
                <w:rFonts w:ascii="Traditional Arabic" w:cs="Traditional Arabic" w:eastAsia="Traditional Arabic" w:hAnsi="Traditional Arabic"/>
                <w:color w:val="2C2C2C"/>
                <w:sz w:val="20"/>
                <w:szCs w:val="20"/>
              </w:rPr>
              <w:t xml:space="preserve">صعيد مصر — صُنع في صعيد مصر</w:t>
            </w:r>
          </w:p>
        </w:tc>
      </w:tr>
      <w:tr>
        <w:tc>
          <w:tcPr>
            <w:tcW w:type="dxa" w:w="468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pPr>
              <w:jc w:val="left"/>
            </w:pPr>
            <w:r>
              <w:rPr>
                <w:rFonts w:ascii="Arial" w:cs="Arial" w:eastAsia="Arial" w:hAnsi="Arial"/>
                <w:color w:val="2C2C2C"/>
                <w:sz w:val="20"/>
                <w:szCs w:val="20"/>
              </w:rPr>
              <w:t xml:space="preserve">Active since 2009</w:t>
            </w:r>
          </w:p>
        </w:tc>
        <w:tc>
          <w:tcPr>
            <w:tcW w:type="dxa" w:w="468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pPr>
              <w:jc w:val="right"/>
            </w:pPr>
            <w:r>
              <w:rPr>
                <w:rFonts w:ascii="Traditional Arabic" w:cs="Traditional Arabic" w:eastAsia="Traditional Arabic" w:hAnsi="Traditional Arabic"/>
                <w:color w:val="2C2C2C"/>
                <w:sz w:val="20"/>
                <w:szCs w:val="20"/>
              </w:rPr>
              <w:t xml:space="preserve">نشاط مستمر منذ 2009</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color w:val="2C2C2C"/>
                <w:sz w:val="20"/>
                <w:szCs w:val="20"/>
              </w:rPr>
              <w:t xml:space="preserve">6 Registered Patents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right"/>
            </w:pPr>
            <w:r>
              <w:rPr>
                <w:rFonts w:ascii="Traditional Arabic" w:cs="Traditional Arabic" w:eastAsia="Traditional Arabic" w:hAnsi="Traditional Arabic"/>
                <w:color w:val="2C2C2C"/>
                <w:sz w:val="20"/>
                <w:szCs w:val="20"/>
              </w:rPr>
              <w:t xml:space="preserve">6 براءات اختراع مسجلة</w:t>
            </w:r>
          </w:p>
        </w:tc>
      </w:tr>
      <w:tr>
        <w:tc>
          <w:tcPr>
            <w:tcW w:type="dxa" w:w="468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pPr>
              <w:jc w:val="left"/>
            </w:pPr>
            <w:r>
              <w:rPr>
                <w:rFonts w:ascii="Arial" w:cs="Arial" w:eastAsia="Arial" w:hAnsi="Arial"/>
                <w:color w:val="2C2C2C"/>
                <w:sz w:val="20"/>
                <w:szCs w:val="20"/>
              </w:rPr>
              <w:t xml:space="preserve">~30 Years Field Experience</w:t>
            </w:r>
          </w:p>
        </w:tc>
        <w:tc>
          <w:tcPr>
            <w:tcW w:type="dxa" w:w="468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pPr>
              <w:jc w:val="right"/>
            </w:pPr>
            <w:r>
              <w:rPr>
                <w:rFonts w:ascii="Traditional Arabic" w:cs="Traditional Arabic" w:eastAsia="Traditional Arabic" w:hAnsi="Traditional Arabic"/>
                <w:color w:val="2C2C2C"/>
                <w:sz w:val="20"/>
                <w:szCs w:val="20"/>
              </w:rPr>
              <w:t xml:space="preserve">~30 عاماً خبرة ميدانية</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color w:val="2C2C2C"/>
                <w:sz w:val="20"/>
                <w:szCs w:val="20"/>
              </w:rPr>
              <w:t xml:space="preserve">Moustaqbal Watan Party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right"/>
            </w:pPr>
            <w:r>
              <w:rPr>
                <w:rFonts w:ascii="Traditional Arabic" w:cs="Traditional Arabic" w:eastAsia="Traditional Arabic" w:hAnsi="Traditional Arabic"/>
                <w:color w:val="2C2C2C"/>
                <w:sz w:val="20"/>
                <w:szCs w:val="20"/>
              </w:rPr>
              <w:t xml:space="preserve">حزب مستقبل وطن</w:t>
            </w:r>
          </w:p>
        </w:tc>
      </w:tr>
    </w:tbl>
    <w:p>
      <w:pPr>
        <w:spacing w:after="100" w:before="300"/>
      </w:pPr>
    </w:p>
    <w:p>
      <w:pPr>
        <w:spacing w:after="160" w:before="320"/>
        <w:jc w:val="right"/>
      </w:pPr>
      <w:r>
        <w:rPr>
          <w:rFonts w:ascii="Traditional Arabic" w:cs="Traditional Arabic" w:eastAsia="Traditional Arabic" w:hAnsi="Traditional Arabic"/>
          <w:b/>
          <w:bCs/>
          <w:color w:val="1A4731"/>
          <w:sz w:val="36"/>
          <w:szCs w:val="36"/>
        </w:rPr>
        <w:t xml:space="preserve">أولاً: من هو د. خالد فندي؟</w:t>
      </w:r>
    </w:p>
    <w:p>
      <w:pPr>
        <w:pBdr>
          <w:bottom w:val="single" w:color="8B6914" w:sz="8" w:space="1"/>
        </w:pBdr>
        <w:spacing w:after="200" w:before="200"/>
      </w:pPr>
      <w:r>
        <w:t xml:space="preserve"/>
      </w:r>
    </w:p>
    <w:p>
      <w:pPr>
        <w:spacing w:after="80" w:before="80"/>
        <w:jc w:val="right"/>
      </w:pPr>
      <w:r>
        <w:rPr>
          <w:rFonts w:ascii="Traditional Arabic" w:cs="Traditional Arabic" w:eastAsia="Traditional Arabic" w:hAnsi="Traditional Arabic"/>
          <w:b w:val="false"/>
          <w:bCs w:val="false"/>
          <w:color w:val="2C2C2C"/>
          <w:sz w:val="24"/>
          <w:szCs w:val="24"/>
        </w:rPr>
        <w:t xml:space="preserve">د. خالد عبدالنعيم فندي مخترع مصري صُنع في صعيد مصر — ذلك الصعيد الذي أنجب الحضارات وما زال يُنجب الرجال. يحمل في قلبه ثلاثة دوافع لا تفترق: الإيمان بالله، والانتماء لمصر بكل صعيدها وشمالها وغربها وشرقها، والإيمان بأن الشباب هم مستقبل أي نهضة حقيقية. مسيرته الممتدة لأكثر من ثلاثة عقود تجمع بين البحث العلمي الميداني، والاختراع المُسجَّل، وتأسيس منظومات إنتاجية كاملة، وتأليف الكتب العلمية التأملية.</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2"/>
              <w:left w:val="none" w:color="FFFFFF" w:sz="0"/>
              <w:bottom w:val="single" w:color="8B6914" w:sz="2"/>
              <w:right w:val="single" w:color="1A4731" w:sz="16"/>
            </w:tcBorders>
            <w:shd w:fill="E8F5E9" w:val="clear"/>
            <w:tcMar>
              <w:top w:type="dxa" w:w="200"/>
              <w:left w:type="dxa" w:w="240"/>
              <w:bottom w:type="dxa" w:w="200"/>
              <w:right w:type="dxa" w:w="320"/>
            </w:tcMar>
          </w:tcPr>
          <w:p>
            <w:pPr>
              <w:jc w:val="right"/>
            </w:pPr>
            <w:r>
              <w:rPr>
                <w:rFonts w:ascii="Traditional Arabic" w:cs="Traditional Arabic" w:eastAsia="Traditional Arabic" w:hAnsi="Traditional Arabic"/>
                <w:b/>
                <w:bCs/>
                <w:i/>
                <w:iCs/>
                <w:color w:val="1A4731"/>
                <w:sz w:val="26"/>
                <w:szCs w:val="26"/>
              </w:rPr>
              <w:t xml:space="preserve">«أعمل لله أولاً، ثم لمصر، ولا أطلب مقابلاً إلا أن يرى أبناؤنا وطناً يستحق طموحهم»</w:t>
            </w:r>
          </w:p>
          <w:p>
            <w:pPr>
              <w:jc w:val="right"/>
            </w:pPr>
            <w:r>
              <w:rPr>
                <w:rFonts w:ascii="Traditional Arabic" w:cs="Traditional Arabic" w:eastAsia="Traditional Arabic" w:hAnsi="Traditional Arabic"/>
                <w:color w:val="555555"/>
                <w:sz w:val="20"/>
                <w:szCs w:val="20"/>
              </w:rPr>
              <w:t xml:space="preserve">— د. خالد عبدالنعيم فندي</w:t>
            </w:r>
          </w:p>
        </w:tc>
      </w:tr>
    </w:tbl>
    <w:p>
      <w:pPr>
        <w:spacing w:after="80" w:before="160"/>
      </w:pPr>
    </w:p>
    <w:p>
      <w:pPr>
        <w:spacing w:after="120" w:before="80"/>
        <w:jc w:val="right"/>
      </w:pPr>
      <w:r>
        <w:rPr>
          <w:rFonts w:ascii="Traditional Arabic" w:cs="Traditional Arabic" w:eastAsia="Traditional Arabic" w:hAnsi="Traditional Arabic"/>
          <w:b w:val="false"/>
          <w:bCs w:val="false"/>
          <w:color w:val="2C2C2C"/>
          <w:sz w:val="24"/>
          <w:szCs w:val="24"/>
        </w:rPr>
        <w:t xml:space="preserve">مؤسس ومدير مؤسسة أونست فندي للابتكارات والحلول الرقمية (سجل تجاري نشط منذ 2009، مجدد أبريل 2026)، وصاحب ستة براءات اختراع مسجلة في مجالات الهندسة البيئية ومعالجة المياه. كما يقود مبادرة ورد الخير البيئية التي أسسها عام 2007 لمعالجة نبات ورد النيل وتحويله إلى ثروة.</w:t>
      </w:r>
    </w:p>
    <w:p>
      <w:pPr>
        <w:spacing w:after="80" w:before="120"/>
      </w:pPr>
    </w:p>
    <w:p>
      <w:pPr>
        <w:spacing w:after="160" w:before="320"/>
        <w:jc w:val="right"/>
      </w:pPr>
      <w:r>
        <w:rPr>
          <w:rFonts w:ascii="Traditional Arabic" w:cs="Traditional Arabic" w:eastAsia="Traditional Arabic" w:hAnsi="Traditional Arabic"/>
          <w:b/>
          <w:bCs/>
          <w:color w:val="1A4731"/>
          <w:sz w:val="36"/>
          <w:szCs w:val="36"/>
        </w:rPr>
        <w:t xml:space="preserve">ثانياً: فلسفة الأخلاق — المحرك الخفي لكل اختراع</w:t>
      </w:r>
    </w:p>
    <w:p>
      <w:pPr>
        <w:pBdr>
          <w:bottom w:val="single" w:color="8B6914" w:sz="8"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1A4731" w:sz="12"/>
              <w:bottom w:val="single" w:color="B8860B" w:sz="4"/>
              <w:right w:val="single" w:color="B8860B" w:sz="4"/>
            </w:tcBorders>
            <w:shd w:fill="FFF8E7" w:val="clear"/>
            <w:tcMar>
              <w:top w:type="dxa" w:w="160"/>
              <w:left w:type="dxa" w:w="240"/>
              <w:bottom w:type="dxa" w:w="160"/>
              <w:right w:type="dxa" w:w="240"/>
            </w:tcMar>
          </w:tcPr>
          <w:p>
            <w:pPr>
              <w:spacing w:after="160" w:before="80"/>
              <w:jc w:val="right"/>
            </w:pPr>
            <w:r>
              <w:rPr>
                <w:rFonts w:ascii="Traditional Arabic" w:cs="Traditional Arabic" w:eastAsia="Traditional Arabic" w:hAnsi="Traditional Arabic"/>
                <w:b/>
                <w:bCs/>
                <w:color w:val="1A4731"/>
                <w:sz w:val="26"/>
                <w:szCs w:val="26"/>
              </w:rPr>
              <w:t xml:space="preserve">لا يُفرّق د. خالد بين العلم والأخلاق. في فكره، الاختراع الذي لا يخدم إنساناً أو يصون بيئةً أو يبني وطناً هو مجرد رقم في سجل. فلسفته الأخلاقية تقوم على أربعة أركان:</w:t>
            </w:r>
          </w:p>
          <w:p>
            <w:pPr>
              <w:pStyle w:val="ListParagraph"/>
              <w:numPr>
                <w:ilvl w:val="0"/>
                <w:numId w:val="2"/>
              </w:numPr>
              <w:spacing w:after="80" w:before="80"/>
              <w:jc w:val="right"/>
            </w:pPr>
            <w:r>
              <w:rPr>
                <w:rFonts w:ascii="Traditional Arabic" w:cs="Traditional Arabic" w:eastAsia="Traditional Arabic" w:hAnsi="Traditional Arabic"/>
                <w:b/>
                <w:bCs/>
                <w:color w:val="2C2C2C"/>
                <w:sz w:val="24"/>
                <w:szCs w:val="24"/>
              </w:rPr>
              <w:t xml:space="preserve">الأمانة العلمية: لا ادعاء لما لم يُختبر، ولا نشر لما لم يُوثَّق.</w:t>
            </w:r>
          </w:p>
          <w:p>
            <w:pPr>
              <w:pStyle w:val="ListParagraph"/>
              <w:numPr>
                <w:ilvl w:val="0"/>
                <w:numId w:val="2"/>
              </w:numPr>
              <w:spacing w:after="80" w:before="80"/>
              <w:jc w:val="right"/>
            </w:pPr>
            <w:r>
              <w:rPr>
                <w:rFonts w:ascii="Traditional Arabic" w:cs="Traditional Arabic" w:eastAsia="Traditional Arabic" w:hAnsi="Traditional Arabic"/>
                <w:b/>
                <w:bCs/>
                <w:color w:val="2C2C2C"/>
                <w:sz w:val="24"/>
                <w:szCs w:val="24"/>
              </w:rPr>
              <w:t xml:space="preserve">العدل بين الأبناء والمجتمع: كما يساوي بين أبنائه، يساوي في خدمته بين الأغنياء والفقراء والشباب.</w:t>
            </w:r>
          </w:p>
          <w:p>
            <w:pPr>
              <w:pStyle w:val="ListParagraph"/>
              <w:numPr>
                <w:ilvl w:val="0"/>
                <w:numId w:val="2"/>
              </w:numPr>
              <w:spacing w:after="80" w:before="80"/>
              <w:jc w:val="right"/>
            </w:pPr>
            <w:r>
              <w:rPr>
                <w:rFonts w:ascii="Traditional Arabic" w:cs="Traditional Arabic" w:eastAsia="Traditional Arabic" w:hAnsi="Traditional Arabic"/>
                <w:b/>
                <w:bCs/>
                <w:color w:val="2C2C2C"/>
                <w:sz w:val="24"/>
                <w:szCs w:val="24"/>
              </w:rPr>
              <w:t xml:space="preserve">الزهد في الضوء: يؤمن بأن الاختراع الحقيقي يتكلم بنتائجه لا بأضوائه.</w:t>
            </w:r>
          </w:p>
          <w:p>
            <w:pPr>
              <w:pStyle w:val="ListParagraph"/>
              <w:numPr>
                <w:ilvl w:val="0"/>
                <w:numId w:val="2"/>
              </w:numPr>
              <w:spacing w:after="80" w:before="80"/>
              <w:jc w:val="right"/>
            </w:pPr>
            <w:r>
              <w:rPr>
                <w:rFonts w:ascii="Traditional Arabic" w:cs="Traditional Arabic" w:eastAsia="Traditional Arabic" w:hAnsi="Traditional Arabic"/>
                <w:b/>
                <w:bCs/>
                <w:color w:val="2C2C2C"/>
                <w:sz w:val="24"/>
                <w:szCs w:val="24"/>
              </w:rPr>
              <w:t xml:space="preserve">الإخلاص في النية: يبدأ كل مشروع بسؤال واحد: هل هذا ينفع الناس؟ إذا كانت الإجابة نعم، تبدأ الرحلة.</w:t>
            </w:r>
          </w:p>
        </w:tc>
      </w:tr>
    </w:tbl>
    <w:p>
      <w:pPr>
        <w:spacing w:after="100" w:before="200"/>
      </w:pPr>
    </w:p>
    <w:p>
      <w:pPr>
        <w:spacing w:after="160" w:before="80"/>
        <w:jc w:val="right"/>
      </w:pPr>
      <w:r>
        <w:rPr>
          <w:rFonts w:ascii="Traditional Arabic" w:cs="Traditional Arabic" w:eastAsia="Traditional Arabic" w:hAnsi="Traditional Arabic"/>
          <w:b w:val="false"/>
          <w:bCs w:val="false"/>
          <w:color w:val="2C2C2C"/>
          <w:sz w:val="24"/>
          <w:szCs w:val="24"/>
        </w:rPr>
        <w:t xml:space="preserve">وتتجلى هذه الفلسفة في مشروعه الفكري «فلسفة المواقف» وفي كتبه التي تربط بين آيات القرآن الكريم وحقائق الفيزياء الحديثة، مقدماً نموذجاً حضارياً يُثبت أن الإيمان والعلم طريقان متوازيان لا يتناقضان.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2"/>
              <w:left w:val="none" w:color="FFFFFF" w:sz="0"/>
              <w:bottom w:val="single" w:color="8B6914" w:sz="2"/>
              <w:right w:val="single" w:color="1A4731" w:sz="16"/>
            </w:tcBorders>
            <w:shd w:fill="E8F5E9" w:val="clear"/>
            <w:tcMar>
              <w:top w:type="dxa" w:w="200"/>
              <w:left w:type="dxa" w:w="240"/>
              <w:bottom w:type="dxa" w:w="200"/>
              <w:right w:type="dxa" w:w="320"/>
            </w:tcMar>
          </w:tcPr>
          <w:p>
            <w:pPr>
              <w:jc w:val="right"/>
            </w:pPr>
            <w:r>
              <w:rPr>
                <w:rFonts w:ascii="Traditional Arabic" w:cs="Traditional Arabic" w:eastAsia="Traditional Arabic" w:hAnsi="Traditional Arabic"/>
                <w:b/>
                <w:bCs/>
                <w:i/>
                <w:iCs/>
                <w:color w:val="1A4731"/>
                <w:sz w:val="26"/>
                <w:szCs w:val="26"/>
              </w:rPr>
              <w:t xml:space="preserve">«الأخلاق ليست قيداً على العقل العلمي، بل هي الطاقة التي تجعل العلم ينبض بالحياة ويخدم الإنسان»</w:t>
            </w:r>
          </w:p>
          <w:p>
            <w:pPr>
              <w:jc w:val="right"/>
            </w:pPr>
            <w:r>
              <w:rPr>
                <w:rFonts w:ascii="Traditional Arabic" w:cs="Traditional Arabic" w:eastAsia="Traditional Arabic" w:hAnsi="Traditional Arabic"/>
                <w:color w:val="555555"/>
                <w:sz w:val="20"/>
                <w:szCs w:val="20"/>
              </w:rPr>
              <w:t xml:space="preserve">— من فلسفة المواقف، د. خالد فندي</w:t>
            </w:r>
          </w:p>
        </w:tc>
      </w:tr>
    </w:tbl>
    <w:p>
      <w:pPr>
        <w:spacing w:after="100" w:before="300"/>
      </w:pPr>
    </w:p>
    <w:p>
      <w:pPr>
        <w:spacing w:after="160" w:before="320"/>
        <w:jc w:val="right"/>
      </w:pPr>
      <w:r>
        <w:rPr>
          <w:rFonts w:ascii="Traditional Arabic" w:cs="Traditional Arabic" w:eastAsia="Traditional Arabic" w:hAnsi="Traditional Arabic"/>
          <w:b/>
          <w:bCs/>
          <w:color w:val="1A4731"/>
          <w:sz w:val="36"/>
          <w:szCs w:val="36"/>
        </w:rPr>
        <w:t xml:space="preserve">ثالثاً: دعم الشباب المخترعين — رسالة ما بعد الاختراع</w:t>
      </w:r>
    </w:p>
    <w:p>
      <w:pPr>
        <w:pBdr>
          <w:bottom w:val="single" w:color="8B6914" w:sz="8" w:space="1"/>
        </w:pBdr>
        <w:spacing w:after="200" w:before="200"/>
      </w:pPr>
      <w:r>
        <w:t xml:space="preserve"/>
      </w:r>
    </w:p>
    <w:p>
      <w:pPr>
        <w:spacing w:after="160" w:before="80"/>
        <w:jc w:val="right"/>
      </w:pPr>
      <w:r>
        <w:rPr>
          <w:rFonts w:ascii="Traditional Arabic" w:cs="Traditional Arabic" w:eastAsia="Traditional Arabic" w:hAnsi="Traditional Arabic"/>
          <w:b w:val="false"/>
          <w:bCs w:val="false"/>
          <w:color w:val="2C2C2C"/>
          <w:sz w:val="24"/>
          <w:szCs w:val="24"/>
        </w:rPr>
        <w:t xml:space="preserve">يؤمن د. خالد بأن المخترع الحقيقي لا يكتمل إلا حين يُورِّث معرفته. لذلك تحوّلت رحلته الفردية إلى مسار مؤسسي يُعنى بإلهام الجيل القادم من المخترعين المصريين وتمكينهم عملياً.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1A4731" w:sz="12"/>
              <w:bottom w:val="single" w:color="B8860B" w:sz="4"/>
              <w:right w:val="single" w:color="B8860B" w:sz="4"/>
            </w:tcBorders>
            <w:shd w:fill="E8F5E9" w:val="clear"/>
            <w:tcMar>
              <w:top w:type="dxa" w:w="160"/>
              <w:left w:type="dxa" w:w="240"/>
              <w:bottom w:type="dxa" w:w="160"/>
              <w:right w:type="dxa" w:w="240"/>
            </w:tcMar>
          </w:tcPr>
          <w:p>
            <w:pPr>
              <w:spacing w:after="120" w:before="80"/>
              <w:jc w:val="right"/>
            </w:pPr>
            <w:r>
              <w:rPr>
                <w:rFonts w:ascii="Traditional Arabic" w:cs="Traditional Arabic" w:eastAsia="Traditional Arabic" w:hAnsi="Traditional Arabic"/>
                <w:b/>
                <w:bCs/>
                <w:color w:val="1A4731"/>
                <w:sz w:val="26"/>
                <w:szCs w:val="26"/>
              </w:rPr>
              <w:t xml:space="preserve">ما يقدمه للشباب المخترعين:</w:t>
            </w:r>
          </w:p>
          <w:p>
            <w:pPr>
              <w:pStyle w:val="ListParagraph"/>
              <w:numPr>
                <w:ilvl w:val="0"/>
                <w:numId w:val="2"/>
              </w:numPr>
              <w:spacing w:after="80" w:before="80"/>
              <w:jc w:val="right"/>
            </w:pPr>
            <w:r>
              <w:rPr>
                <w:rFonts w:ascii="Traditional Arabic" w:cs="Traditional Arabic" w:eastAsia="Traditional Arabic" w:hAnsi="Traditional Arabic"/>
                <w:color w:val="2C2C2C"/>
                <w:sz w:val="24"/>
                <w:szCs w:val="24"/>
              </w:rPr>
              <w:t xml:space="preserve">نموذج عملي حي: مسيرته هي المنهج — من الفكرة إلى التوثيق إلى البراءة إلى الشراكة.</w:t>
            </w:r>
          </w:p>
          <w:p>
            <w:pPr>
              <w:pStyle w:val="ListParagraph"/>
              <w:numPr>
                <w:ilvl w:val="0"/>
                <w:numId w:val="2"/>
              </w:numPr>
              <w:spacing w:after="80" w:before="80"/>
              <w:jc w:val="right"/>
            </w:pPr>
            <w:r>
              <w:rPr>
                <w:rFonts w:ascii="Traditional Arabic" w:cs="Traditional Arabic" w:eastAsia="Traditional Arabic" w:hAnsi="Traditional Arabic"/>
                <w:color w:val="2C2C2C"/>
                <w:sz w:val="24"/>
                <w:szCs w:val="24"/>
              </w:rPr>
              <w:t xml:space="preserve">منظومة ILGD™: نظام ذكاء اصطناعي لتشخيص الفجوات التعليمية يضع الطالب المصري في مركز الحل، لا الاستيراد الأجنبي.</w:t>
            </w:r>
          </w:p>
          <w:p>
            <w:pPr>
              <w:pStyle w:val="ListParagraph"/>
              <w:numPr>
                <w:ilvl w:val="0"/>
                <w:numId w:val="2"/>
              </w:numPr>
              <w:spacing w:after="80" w:before="80"/>
              <w:jc w:val="right"/>
            </w:pPr>
            <w:r>
              <w:rPr>
                <w:rFonts w:ascii="Traditional Arabic" w:cs="Traditional Arabic" w:eastAsia="Traditional Arabic" w:hAnsi="Traditional Arabic"/>
                <w:color w:val="2C2C2C"/>
                <w:sz w:val="24"/>
                <w:szCs w:val="24"/>
              </w:rPr>
              <w:t xml:space="preserve">مبادرة ورد الخير: مدرسة ميدانية مفتوحة تُدرِّب الشباب على تحويل مخلفات الطبيعة إلى ثروة.</w:t>
            </w:r>
          </w:p>
          <w:p>
            <w:pPr>
              <w:pStyle w:val="ListParagraph"/>
              <w:numPr>
                <w:ilvl w:val="0"/>
                <w:numId w:val="2"/>
              </w:numPr>
              <w:spacing w:after="80" w:before="80"/>
              <w:jc w:val="right"/>
            </w:pPr>
            <w:r>
              <w:rPr>
                <w:rFonts w:ascii="Traditional Arabic" w:cs="Traditional Arabic" w:eastAsia="Traditional Arabic" w:hAnsi="Traditional Arabic"/>
                <w:color w:val="2C2C2C"/>
                <w:sz w:val="24"/>
                <w:szCs w:val="24"/>
              </w:rPr>
              <w:t xml:space="preserve">فلسفة «التوريث المعرفي»: يفتح ملفاته وتجاربه للشباب الجادين، لأن الاحتكار في العلم خسارة للوطن.</w:t>
            </w:r>
          </w:p>
          <w:p>
            <w:pPr>
              <w:pStyle w:val="ListParagraph"/>
              <w:numPr>
                <w:ilvl w:val="0"/>
                <w:numId w:val="2"/>
              </w:numPr>
              <w:spacing w:after="80" w:before="80"/>
              <w:jc w:val="right"/>
            </w:pPr>
            <w:r>
              <w:rPr>
                <w:rFonts w:ascii="Traditional Arabic" w:cs="Traditional Arabic" w:eastAsia="Traditional Arabic" w:hAnsi="Traditional Arabic"/>
                <w:b/>
                <w:bCs/>
                <w:color w:val="2C2C2C"/>
                <w:sz w:val="24"/>
                <w:szCs w:val="24"/>
              </w:rPr>
              <w:t xml:space="preserve">رسالته الدائمة للشباب: «اخترع لمصر، ووثِّق اختراعك، ولا تنتظر الإذن — الإذن الوحيد هو ضميرك وعلمك».</w:t>
            </w:r>
          </w:p>
        </w:tc>
      </w:tr>
    </w:tbl>
    <w:p>
      <w:pPr>
        <w:spacing w:after="100" w:before="300"/>
      </w:pPr>
    </w:p>
    <w:p>
      <w:r>
        <w:br w:type="page"/>
      </w:r>
    </w:p>
    <w:p>
      <w:pPr>
        <w:spacing w:after="80" w:before="320"/>
        <w:jc w:val="center"/>
      </w:pPr>
      <w:r>
        <w:rPr>
          <w:rFonts w:ascii="Arial" w:cs="Arial" w:eastAsia="Arial" w:hAnsi="Arial"/>
          <w:b/>
          <w:bCs/>
          <w:color w:val="1A4731"/>
          <w:sz w:val="44"/>
          <w:szCs w:val="44"/>
        </w:rPr>
        <w:t xml:space="preserve">Official Professional Biography</w:t>
      </w:r>
    </w:p>
    <w:p>
      <w:pPr>
        <w:spacing w:after="80" w:before="0"/>
        <w:jc w:val="center"/>
      </w:pPr>
      <w:r>
        <w:rPr>
          <w:rFonts w:ascii="Arial" w:cs="Arial" w:eastAsia="Arial" w:hAnsi="Arial"/>
          <w:b/>
          <w:bCs/>
          <w:color w:val="8B6914"/>
          <w:sz w:val="36"/>
          <w:szCs w:val="36"/>
        </w:rPr>
        <w:t xml:space="preserve">Dr. Khaled Abdulnaim Fendy</w:t>
      </w:r>
    </w:p>
    <w:p>
      <w:pPr>
        <w:pBdr>
          <w:bottom w:val="single" w:color="B8860B" w:sz="8" w:space="1"/>
        </w:pBdr>
        <w:spacing w:after="200" w:before="200"/>
      </w:pPr>
      <w:r>
        <w:t xml:space="preserve"/>
      </w:r>
    </w:p>
    <w:p>
      <w:pPr>
        <w:spacing w:after="160" w:before="320"/>
        <w:jc w:val="left"/>
      </w:pPr>
      <w:r>
        <w:rPr>
          <w:rFonts w:ascii="Arial" w:cs="Arial" w:eastAsia="Arial" w:hAnsi="Arial"/>
          <w:b/>
          <w:bCs/>
          <w:color w:val="1A4731"/>
          <w:sz w:val="36"/>
          <w:szCs w:val="36"/>
        </w:rPr>
        <w:t xml:space="preserve">I. Who Is Dr. Khaled Fendy?</w:t>
      </w:r>
    </w:p>
    <w:p>
      <w:pPr>
        <w:pBdr>
          <w:bottom w:val="single" w:color="8B6914" w:sz="8" w:space="1"/>
        </w:pBdr>
        <w:spacing w:after="200" w:before="200"/>
      </w:pPr>
      <w:r>
        <w:t xml:space="preserve"/>
      </w:r>
    </w:p>
    <w:p>
      <w:pPr>
        <w:spacing w:after="80" w:before="80"/>
        <w:jc w:val="left"/>
      </w:pPr>
      <w:r>
        <w:rPr>
          <w:rFonts w:ascii="Arial" w:cs="Arial" w:eastAsia="Arial" w:hAnsi="Arial"/>
          <w:b w:val="false"/>
          <w:bCs w:val="false"/>
          <w:color w:val="2C2C2C"/>
          <w:sz w:val="22"/>
          <w:szCs w:val="22"/>
        </w:rPr>
        <w:t xml:space="preserve">Dr. Khaled Abdulnaim Fendy is an Egyptian inventor, environmental researcher, and entrepreneur — a man Made in Upper Egypt (ميد إن أبر إيجيبت), the ancient land that built civilizations and continues to build men of vision. His three-decade career bridges rigorous field science, registered intellectual property, and deep spiritual conviction — a rare combination that defines both his work and his character.</w:t>
      </w:r>
    </w:p>
    <w:p>
      <w:pPr>
        <w:spacing w:after="120" w:before="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B6914" w:sz="2"/>
              <w:left w:val="single" w:color="1A4731" w:sz="16"/>
              <w:bottom w:val="single" w:color="8B6914" w:sz="2"/>
              <w:right w:val="none" w:color="FFFFFF" w:sz="0"/>
            </w:tcBorders>
            <w:shd w:fill="E8F5E9" w:val="clear"/>
            <w:tcMar>
              <w:top w:type="dxa" w:w="200"/>
              <w:left w:type="dxa" w:w="240"/>
              <w:bottom w:type="dxa" w:w="200"/>
              <w:right w:type="dxa" w:w="240"/>
            </w:tcMar>
          </w:tcPr>
          <w:p>
            <w:pPr>
              <w:jc w:val="left"/>
            </w:pPr>
            <w:r>
              <w:rPr>
                <w:rFonts w:ascii="Arial" w:cs="Arial" w:eastAsia="Arial" w:hAnsi="Arial"/>
                <w:b/>
                <w:bCs/>
                <w:i/>
                <w:iCs/>
                <w:color w:val="1A4731"/>
                <w:sz w:val="24"/>
                <w:szCs w:val="24"/>
              </w:rPr>
              <w:t xml:space="preserve">"I work for God first, then for Egypt. I ask no reward except to see our children live in a nation worthy of their dreams."</w:t>
            </w:r>
          </w:p>
          <w:p>
            <w:pPr>
              <w:jc w:val="left"/>
            </w:pPr>
            <w:r>
              <w:rPr>
                <w:rFonts w:ascii="Arial" w:cs="Arial" w:eastAsia="Arial" w:hAnsi="Arial"/>
                <w:color w:val="555555"/>
                <w:sz w:val="20"/>
                <w:szCs w:val="20"/>
              </w:rPr>
              <w:t xml:space="preserve">— Dr. Khaled Abdulnaim Fendy</w:t>
            </w:r>
          </w:p>
        </w:tc>
      </w:tr>
    </w:tbl>
    <w:p>
      <w:pPr>
        <w:spacing w:after="80" w:before="160"/>
      </w:pPr>
    </w:p>
    <w:p>
      <w:pPr>
        <w:spacing w:after="80" w:before="80"/>
        <w:jc w:val="left"/>
      </w:pPr>
      <w:r>
        <w:rPr>
          <w:rFonts w:ascii="Arial" w:cs="Arial" w:eastAsia="Arial" w:hAnsi="Arial"/>
          <w:b w:val="false"/>
          <w:bCs w:val="false"/>
          <w:color w:val="2C2C2C"/>
          <w:sz w:val="22"/>
          <w:szCs w:val="22"/>
        </w:rPr>
        <w:t xml:space="preserve">Founder and Director of Honest Fendy Foundation for Innovations &amp; Digital Solutions (active since 2009, renewed April 2026), Dr. Fendy holds six registered patents in environmental engineering and water treatment. He has led the Ward El Kheir environmental initiative since 2007 — transforming invasive water hyacinth into a national economic resource.</w:t>
      </w:r>
    </w:p>
    <w:p>
      <w:pPr>
        <w:spacing w:after="100" w:before="200"/>
      </w:pPr>
    </w:p>
    <w:p>
      <w:pPr>
        <w:spacing w:after="160" w:before="320"/>
        <w:jc w:val="left"/>
      </w:pPr>
      <w:r>
        <w:rPr>
          <w:rFonts w:ascii="Arial" w:cs="Arial" w:eastAsia="Arial" w:hAnsi="Arial"/>
          <w:b/>
          <w:bCs/>
          <w:color w:val="1A4731"/>
          <w:sz w:val="36"/>
          <w:szCs w:val="36"/>
        </w:rPr>
        <w:t xml:space="preserve">II. Philosophy of Ethics — The Hidden Engine of Every Invention</w:t>
      </w:r>
    </w:p>
    <w:p>
      <w:pPr>
        <w:pBdr>
          <w:bottom w:val="single" w:color="8B6914" w:sz="8"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1A4731" w:sz="12"/>
              <w:bottom w:val="single" w:color="B8860B" w:sz="4"/>
              <w:right w:val="single" w:color="B8860B" w:sz="4"/>
            </w:tcBorders>
            <w:shd w:fill="FFF8E7" w:val="clear"/>
            <w:tcMar>
              <w:top w:type="dxa" w:w="160"/>
              <w:left w:type="dxa" w:w="240"/>
              <w:bottom w:type="dxa" w:w="160"/>
              <w:right w:type="dxa" w:w="240"/>
            </w:tcMar>
          </w:tcPr>
          <w:p>
            <w:pPr>
              <w:spacing w:after="160" w:before="80"/>
              <w:jc w:val="left"/>
            </w:pPr>
            <w:r>
              <w:rPr>
                <w:rFonts w:ascii="Arial" w:cs="Arial" w:eastAsia="Arial" w:hAnsi="Arial"/>
                <w:b/>
                <w:bCs/>
                <w:color w:val="1A4731"/>
                <w:sz w:val="24"/>
                <w:szCs w:val="24"/>
              </w:rPr>
              <w:t xml:space="preserve">Dr. Fendy does not separate science from ethics. In his worldview, an invention that does not serve people, protect the environment, or build the nation is merely a number in a registry. His ethical philosophy rests on four pillars:</w:t>
            </w:r>
          </w:p>
          <w:p>
            <w:pPr>
              <w:pStyle w:val="ListParagraph"/>
              <w:numPr>
                <w:ilvl w:val="0"/>
                <w:numId w:val="2"/>
              </w:numPr>
              <w:spacing w:after="80" w:before="80"/>
              <w:jc w:val="left"/>
            </w:pPr>
            <w:r>
              <w:rPr>
                <w:rFonts w:ascii="Arial" w:cs="Arial" w:eastAsia="Arial" w:hAnsi="Arial"/>
                <w:b/>
                <w:bCs/>
                <w:color w:val="2C2C2C"/>
                <w:sz w:val="22"/>
                <w:szCs w:val="22"/>
              </w:rPr>
              <w:t xml:space="preserve">Scientific Integrity: No claim without testing; no publication without documentation.</w:t>
            </w:r>
          </w:p>
          <w:p>
            <w:pPr>
              <w:pStyle w:val="ListParagraph"/>
              <w:numPr>
                <w:ilvl w:val="0"/>
                <w:numId w:val="2"/>
              </w:numPr>
              <w:spacing w:after="80" w:before="80"/>
              <w:jc w:val="left"/>
            </w:pPr>
            <w:r>
              <w:rPr>
                <w:rFonts w:ascii="Arial" w:cs="Arial" w:eastAsia="Arial" w:hAnsi="Arial"/>
                <w:b/>
                <w:bCs/>
                <w:color w:val="2C2C2C"/>
                <w:sz w:val="22"/>
                <w:szCs w:val="22"/>
              </w:rPr>
              <w:t xml:space="preserve">Justice for All: As he treats his own children with equal fairness, he extends equal service to the wealthy, the poor, and the young.</w:t>
            </w:r>
          </w:p>
          <w:p>
            <w:pPr>
              <w:pStyle w:val="ListParagraph"/>
              <w:numPr>
                <w:ilvl w:val="0"/>
                <w:numId w:val="2"/>
              </w:numPr>
              <w:spacing w:after="80" w:before="80"/>
              <w:jc w:val="left"/>
            </w:pPr>
            <w:r>
              <w:rPr>
                <w:rFonts w:ascii="Arial" w:cs="Arial" w:eastAsia="Arial" w:hAnsi="Arial"/>
                <w:b/>
                <w:bCs/>
                <w:color w:val="2C2C2C"/>
                <w:sz w:val="22"/>
                <w:szCs w:val="22"/>
              </w:rPr>
              <w:t xml:space="preserve">Humility in Achievement: True invention speaks through results, not spotlight.</w:t>
            </w:r>
          </w:p>
          <w:p>
            <w:pPr>
              <w:pStyle w:val="ListParagraph"/>
              <w:numPr>
                <w:ilvl w:val="0"/>
                <w:numId w:val="2"/>
              </w:numPr>
              <w:spacing w:after="80" w:before="80"/>
              <w:jc w:val="left"/>
            </w:pPr>
            <w:r>
              <w:rPr>
                <w:rFonts w:ascii="Arial" w:cs="Arial" w:eastAsia="Arial" w:hAnsi="Arial"/>
                <w:b/>
                <w:bCs/>
                <w:color w:val="2C2C2C"/>
                <w:sz w:val="22"/>
                <w:szCs w:val="22"/>
              </w:rPr>
              <w:t xml:space="preserve">Sincerity of Purpose: Every project begins with one question — Does this benefit people? If yes, the journey begins.</w:t>
            </w:r>
          </w:p>
        </w:tc>
      </w:tr>
    </w:tbl>
    <w:p>
      <w:pPr>
        <w:spacing w:after="80" w:before="160"/>
      </w:pPr>
    </w:p>
    <w:p>
      <w:pPr>
        <w:spacing w:after="80" w:before="80"/>
        <w:jc w:val="left"/>
      </w:pPr>
      <w:r>
        <w:rPr>
          <w:rFonts w:ascii="Arial" w:cs="Arial" w:eastAsia="Arial" w:hAnsi="Arial"/>
          <w:b w:val="false"/>
          <w:bCs w:val="false"/>
          <w:color w:val="2C2C2C"/>
          <w:sz w:val="22"/>
          <w:szCs w:val="22"/>
        </w:rPr>
        <w:t xml:space="preserve">This philosophy manifests in his intellectual project 'Philosophy of Situations' (فلسفة المواقف) and in his published books connecting Quranic verses with modern physics — presenting a civilizational model that proves faith and science are parallel roads, not opposing forces.</w:t>
      </w:r>
    </w:p>
    <w:p>
      <w:pPr>
        <w:spacing w:after="120" w:before="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B6914" w:sz="2"/>
              <w:left w:val="single" w:color="1A4731" w:sz="16"/>
              <w:bottom w:val="single" w:color="8B6914" w:sz="2"/>
              <w:right w:val="none" w:color="FFFFFF" w:sz="0"/>
            </w:tcBorders>
            <w:shd w:fill="E8F5E9" w:val="clear"/>
            <w:tcMar>
              <w:top w:type="dxa" w:w="200"/>
              <w:left w:type="dxa" w:w="240"/>
              <w:bottom w:type="dxa" w:w="200"/>
              <w:right w:type="dxa" w:w="240"/>
            </w:tcMar>
          </w:tcPr>
          <w:p>
            <w:pPr>
              <w:jc w:val="left"/>
            </w:pPr>
            <w:r>
              <w:rPr>
                <w:rFonts w:ascii="Arial" w:cs="Arial" w:eastAsia="Arial" w:hAnsi="Arial"/>
                <w:b/>
                <w:bCs/>
                <w:i/>
                <w:iCs/>
                <w:color w:val="1A4731"/>
                <w:sz w:val="24"/>
                <w:szCs w:val="24"/>
              </w:rPr>
              <w:t xml:space="preserve">"Ethics are not a constraint on the scientific mind — they are the energy that makes science pulse with life and serve humanity."</w:t>
            </w:r>
          </w:p>
          <w:p>
            <w:pPr>
              <w:jc w:val="left"/>
            </w:pPr>
            <w:r>
              <w:rPr>
                <w:rFonts w:ascii="Arial" w:cs="Arial" w:eastAsia="Arial" w:hAnsi="Arial"/>
                <w:color w:val="555555"/>
                <w:sz w:val="20"/>
                <w:szCs w:val="20"/>
              </w:rPr>
              <w:t xml:space="preserve">— From 'Philosophy of Situations', Dr. Khaled Fendy</w:t>
            </w:r>
          </w:p>
        </w:tc>
      </w:tr>
    </w:tbl>
    <w:p>
      <w:pPr>
        <w:spacing w:after="100" w:before="200"/>
      </w:pPr>
    </w:p>
    <w:p>
      <w:pPr>
        <w:spacing w:after="160" w:before="320"/>
        <w:jc w:val="left"/>
      </w:pPr>
      <w:r>
        <w:rPr>
          <w:rFonts w:ascii="Arial" w:cs="Arial" w:eastAsia="Arial" w:hAnsi="Arial"/>
          <w:b/>
          <w:bCs/>
          <w:color w:val="1A4731"/>
          <w:sz w:val="36"/>
          <w:szCs w:val="36"/>
        </w:rPr>
        <w:t xml:space="preserve">III. Supporting Young Inventors — The Mission Beyond the Patent</w:t>
      </w:r>
    </w:p>
    <w:p>
      <w:pPr>
        <w:pBdr>
          <w:bottom w:val="single" w:color="8B6914" w:sz="8" w:space="1"/>
        </w:pBdr>
        <w:spacing w:after="200" w:before="200"/>
      </w:pPr>
      <w:r>
        <w:t xml:space="preserve"/>
      </w:r>
    </w:p>
    <w:p>
      <w:pPr>
        <w:spacing w:after="80" w:before="80"/>
        <w:jc w:val="left"/>
      </w:pPr>
      <w:r>
        <w:rPr>
          <w:rFonts w:ascii="Arial" w:cs="Arial" w:eastAsia="Arial" w:hAnsi="Arial"/>
          <w:b w:val="false"/>
          <w:bCs w:val="false"/>
          <w:color w:val="2C2C2C"/>
          <w:sz w:val="22"/>
          <w:szCs w:val="22"/>
        </w:rPr>
        <w:t xml:space="preserve">Dr. Fendy believes that a true inventor is incomplete until he passes on his knowledge. His personal journey has therefore transformed into an institutional path dedicated to inspiring and practically empowering the next generation of Egyptian inventors.</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1A4731" w:sz="12"/>
              <w:bottom w:val="single" w:color="B8860B" w:sz="4"/>
              <w:right w:val="single" w:color="B8860B" w:sz="4"/>
            </w:tcBorders>
            <w:shd w:fill="E8F5E9" w:val="clear"/>
            <w:tcMar>
              <w:top w:type="dxa" w:w="160"/>
              <w:left w:type="dxa" w:w="240"/>
              <w:bottom w:type="dxa" w:w="160"/>
              <w:right w:type="dxa" w:w="240"/>
            </w:tcMar>
          </w:tcPr>
          <w:p>
            <w:pPr>
              <w:spacing w:after="120" w:before="80"/>
              <w:jc w:val="left"/>
            </w:pPr>
            <w:r>
              <w:rPr>
                <w:rFonts w:ascii="Arial" w:cs="Arial" w:eastAsia="Arial" w:hAnsi="Arial"/>
                <w:b/>
                <w:bCs/>
                <w:color w:val="1A4731"/>
                <w:sz w:val="24"/>
                <w:szCs w:val="24"/>
              </w:rPr>
              <w:t xml:space="preserve">What He Offers Young Inventors:</w:t>
            </w:r>
          </w:p>
          <w:p>
            <w:pPr>
              <w:pStyle w:val="ListParagraph"/>
              <w:numPr>
                <w:ilvl w:val="0"/>
                <w:numId w:val="2"/>
              </w:numPr>
              <w:spacing w:after="80" w:before="80"/>
              <w:jc w:val="left"/>
            </w:pPr>
            <w:r>
              <w:rPr>
                <w:rFonts w:ascii="Arial" w:cs="Arial" w:eastAsia="Arial" w:hAnsi="Arial"/>
                <w:color w:val="2C2C2C"/>
                <w:sz w:val="22"/>
                <w:szCs w:val="22"/>
              </w:rPr>
              <w:t xml:space="preserve">A Living Practical Model: His own career is the curriculum — from idea to documentation to patent to partnership.</w:t>
            </w:r>
          </w:p>
          <w:p>
            <w:pPr>
              <w:pStyle w:val="ListParagraph"/>
              <w:numPr>
                <w:ilvl w:val="0"/>
                <w:numId w:val="2"/>
              </w:numPr>
              <w:spacing w:after="80" w:before="80"/>
              <w:jc w:val="left"/>
            </w:pPr>
            <w:r>
              <w:rPr>
                <w:rFonts w:ascii="Arial" w:cs="Arial" w:eastAsia="Arial" w:hAnsi="Arial"/>
                <w:color w:val="2C2C2C"/>
                <w:sz w:val="22"/>
                <w:szCs w:val="22"/>
              </w:rPr>
              <w:t xml:space="preserve">ILGD™ System: An AI-powered learning gap diagnostic tool placing the Egyptian student at the center of the solution — not imported foreign technology.</w:t>
            </w:r>
          </w:p>
          <w:p>
            <w:pPr>
              <w:pStyle w:val="ListParagraph"/>
              <w:numPr>
                <w:ilvl w:val="0"/>
                <w:numId w:val="2"/>
              </w:numPr>
              <w:spacing w:after="80" w:before="80"/>
              <w:jc w:val="left"/>
            </w:pPr>
            <w:r>
              <w:rPr>
                <w:rFonts w:ascii="Arial" w:cs="Arial" w:eastAsia="Arial" w:hAnsi="Arial"/>
                <w:color w:val="2C2C2C"/>
                <w:sz w:val="22"/>
                <w:szCs w:val="22"/>
              </w:rPr>
              <w:t xml:space="preserve">Ward El Kheir Initiative: An open field school training youth to transform natural waste into national wealth.</w:t>
            </w:r>
          </w:p>
          <w:p>
            <w:pPr>
              <w:pStyle w:val="ListParagraph"/>
              <w:numPr>
                <w:ilvl w:val="0"/>
                <w:numId w:val="2"/>
              </w:numPr>
              <w:spacing w:after="80" w:before="80"/>
              <w:jc w:val="left"/>
            </w:pPr>
            <w:r>
              <w:rPr>
                <w:rFonts w:ascii="Arial" w:cs="Arial" w:eastAsia="Arial" w:hAnsi="Arial"/>
                <w:color w:val="2C2C2C"/>
                <w:sz w:val="22"/>
                <w:szCs w:val="22"/>
              </w:rPr>
              <w:t xml:space="preserve">Knowledge Inheritance Philosophy: He opens his files and experiments to serious young inventors, believing that monopolizing knowledge is a loss for the nation.</w:t>
            </w:r>
          </w:p>
          <w:p>
            <w:pPr>
              <w:pStyle w:val="ListParagraph"/>
              <w:numPr>
                <w:ilvl w:val="0"/>
                <w:numId w:val="2"/>
              </w:numPr>
              <w:spacing w:after="120" w:before="80"/>
              <w:jc w:val="left"/>
            </w:pPr>
            <w:r>
              <w:rPr>
                <w:rFonts w:ascii="Arial" w:cs="Arial" w:eastAsia="Arial" w:hAnsi="Arial"/>
                <w:b/>
                <w:bCs/>
                <w:color w:val="1A4731"/>
                <w:sz w:val="22"/>
                <w:szCs w:val="22"/>
              </w:rPr>
              <w:t xml:space="preserve">His enduring message to youth: "Invent for Egypt. Document your invention. Do not wait for permission — the only permission you need is your conscience and your knowledge."</w:t>
            </w:r>
          </w:p>
        </w:tc>
      </w:tr>
    </w:tbl>
    <w:p>
      <w:pPr>
        <w:spacing w:after="100" w:before="300"/>
      </w:pPr>
    </w:p>
    <w:p>
      <w:pPr>
        <w:spacing w:after="160" w:before="320"/>
        <w:jc w:val="left"/>
      </w:pPr>
      <w:r>
        <w:rPr>
          <w:rFonts w:ascii="Arial" w:cs="Arial" w:eastAsia="Arial" w:hAnsi="Arial"/>
          <w:b/>
          <w:bCs/>
          <w:color w:val="8B6914"/>
          <w:sz w:val="28"/>
          <w:szCs w:val="28"/>
        </w:rPr>
        <w:t xml:space="preserve">IV. Key Innovation Portfolio</w:t>
      </w:r>
    </w:p>
    <w:p>
      <w:pPr>
        <w:pBdr>
          <w:bottom w:val="single" w:color="8B6914" w:sz="8" w:space="1"/>
        </w:pBdr>
        <w:spacing w:after="200" w:before="2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4546"/>
        <w:gridCol w:w="2800"/>
      </w:tblGrid>
      <w:tr>
        <w:tc>
          <w:tcPr>
            <w:tcW w:type="dxa" w:w="240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Project</w:t>
            </w:r>
          </w:p>
        </w:tc>
        <w:tc>
          <w:tcPr>
            <w:tcW w:type="dxa" w:w="4546"/>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c>
          <w:tcPr>
            <w:tcW w:type="dxa" w:w="280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Field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731"/>
                <w:sz w:val="20"/>
                <w:szCs w:val="20"/>
              </w:rPr>
              <w:t xml:space="preserve">EG-BBS™</w:t>
            </w:r>
          </w:p>
        </w:tc>
        <w:tc>
          <w:tcPr>
            <w:tcW w:type="dxa" w:w="4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Super-activated biochar from 5 agricultural waste feedstocks (HSBAP protocol)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B6914"/>
                <w:sz w:val="20"/>
                <w:szCs w:val="20"/>
              </w:rPr>
              <w:t xml:space="preserve">Circular Economy</w:t>
            </w:r>
          </w:p>
        </w:tc>
      </w:tr>
      <w:tr>
        <w:tc>
          <w:tcPr>
            <w:tcW w:type="dxa" w:w="24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1A4731"/>
                <w:sz w:val="20"/>
                <w:szCs w:val="20"/>
              </w:rPr>
              <w:t xml:space="preserve">EG-IronGreen™</w:t>
            </w:r>
          </w:p>
        </w:tc>
        <w:tc>
          <w:tcPr>
            <w:tcW w:type="dxa" w:w="454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2C2C2C"/>
                <w:sz w:val="20"/>
                <w:szCs w:val="20"/>
              </w:rPr>
              <w:t xml:space="preserve">Green sponge iron using agricultural biochar &amp; steam</w:t>
            </w:r>
          </w:p>
        </w:tc>
        <w:tc>
          <w:tcPr>
            <w:tcW w:type="dxa" w:w="2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8B6914"/>
                <w:sz w:val="20"/>
                <w:szCs w:val="20"/>
              </w:rPr>
              <w:t xml:space="preserve">Green Industry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731"/>
                <w:sz w:val="20"/>
                <w:szCs w:val="20"/>
              </w:rPr>
              <w:t xml:space="preserve">Ward El Kheir / FBCS™</w:t>
            </w:r>
          </w:p>
        </w:tc>
        <w:tc>
          <w:tcPr>
            <w:tcW w:type="dxa" w:w="4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National waste-to-value system targeting 6 waste streams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B6914"/>
                <w:sz w:val="20"/>
                <w:szCs w:val="20"/>
              </w:rPr>
              <w:t xml:space="preserve">Environment</w:t>
            </w:r>
          </w:p>
        </w:tc>
      </w:tr>
      <w:tr>
        <w:tc>
          <w:tcPr>
            <w:tcW w:type="dxa" w:w="24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1A4731"/>
                <w:sz w:val="20"/>
                <w:szCs w:val="20"/>
              </w:rPr>
              <w:t xml:space="preserve">FENDY Alloys™</w:t>
            </w:r>
          </w:p>
        </w:tc>
        <w:tc>
          <w:tcPr>
            <w:tcW w:type="dxa" w:w="454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2C2C2C"/>
                <w:sz w:val="20"/>
                <w:szCs w:val="20"/>
              </w:rPr>
              <w:t xml:space="preserve">100 aluminum alloys — patent pending at Egyptian IP Office</w:t>
            </w:r>
          </w:p>
        </w:tc>
        <w:tc>
          <w:tcPr>
            <w:tcW w:type="dxa" w:w="2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8B6914"/>
                <w:sz w:val="20"/>
                <w:szCs w:val="20"/>
              </w:rPr>
              <w:t xml:space="preserve">Advanced Materials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731"/>
                <w:sz w:val="20"/>
                <w:szCs w:val="20"/>
              </w:rPr>
              <w:t xml:space="preserve">ILGD™</w:t>
            </w:r>
          </w:p>
        </w:tc>
        <w:tc>
          <w:tcPr>
            <w:tcW w:type="dxa" w:w="4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AI learning gap diagnosis — patent pending April 2026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B6914"/>
                <w:sz w:val="20"/>
                <w:szCs w:val="20"/>
              </w:rPr>
              <w:t xml:space="preserve">EdTech</w:t>
            </w:r>
          </w:p>
        </w:tc>
      </w:tr>
      <w:tr>
        <w:tc>
          <w:tcPr>
            <w:tcW w:type="dxa" w:w="24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1A4731"/>
                <w:sz w:val="20"/>
                <w:szCs w:val="20"/>
              </w:rPr>
              <w:t xml:space="preserve">FENDY GoldShield™</w:t>
            </w:r>
          </w:p>
        </w:tc>
        <w:tc>
          <w:tcPr>
            <w:tcW w:type="dxa" w:w="4546"/>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2C2C2C"/>
                <w:sz w:val="20"/>
                <w:szCs w:val="20"/>
              </w:rPr>
              <w:t xml:space="preserve">PFAS-free jewelry polishing powder</w:t>
            </w:r>
          </w:p>
        </w:tc>
        <w:tc>
          <w:tcPr>
            <w:tcW w:type="dxa" w:w="2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8B6914"/>
                <w:sz w:val="20"/>
                <w:szCs w:val="20"/>
              </w:rPr>
              <w:t xml:space="preserve">Consumer / Clean Chem</w:t>
            </w:r>
          </w:p>
        </w:tc>
      </w:tr>
    </w:tbl>
    <w:p>
      <w:pPr>
        <w:spacing w:after="200" w:before="4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16"/>
              <w:left w:val="single" w:color="1A4731" w:sz="16"/>
              <w:bottom w:val="single" w:color="B8860B" w:sz="16"/>
              <w:right w:val="single" w:color="1A4731" w:sz="16"/>
            </w:tcBorders>
            <w:shd w:fill="1A4731" w:val="clear"/>
            <w:tcMar>
              <w:top w:type="dxa" w:w="240"/>
              <w:left w:type="dxa" w:w="400"/>
              <w:bottom w:type="dxa" w:w="240"/>
              <w:right w:type="dxa" w:w="400"/>
            </w:tcMar>
          </w:tcPr>
          <w:p>
            <w:pPr>
              <w:spacing w:after="120" w:before="0"/>
              <w:jc w:val="center"/>
            </w:pPr>
            <w:r>
              <w:rPr>
                <w:rFonts w:ascii="Traditional Arabic" w:cs="Traditional Arabic" w:eastAsia="Traditional Arabic" w:hAnsi="Traditional Arabic"/>
                <w:b/>
                <w:bCs/>
                <w:color w:val="FFFFFF"/>
                <w:sz w:val="36"/>
                <w:szCs w:val="36"/>
              </w:rPr>
              <w:t xml:space="preserve">«اخترع لمصر — ووثِّق — ولا تنتظر الإذن»</w:t>
            </w:r>
          </w:p>
          <w:p>
            <w:pPr>
              <w:jc w:val="center"/>
            </w:pPr>
            <w:r>
              <w:rPr>
                <w:rFonts w:ascii="Arial" w:cs="Arial" w:eastAsia="Arial" w:hAnsi="Arial"/>
                <w:b/>
                <w:bCs/>
                <w:color w:val="FFF8E7"/>
                <w:sz w:val="28"/>
                <w:szCs w:val="28"/>
              </w:rPr>
              <w:t xml:space="preserve">"Invent for Egypt — Document — Do Not Wait for Permission"</w:t>
            </w:r>
          </w:p>
          <w:p>
            <w:pPr>
              <w:spacing w:after="0" w:before="120"/>
              <w:jc w:val="center"/>
            </w:pPr>
            <w:r>
              <w:rPr>
                <w:rFonts w:ascii="Arial" w:cs="Arial" w:eastAsia="Arial" w:hAnsi="Arial"/>
                <w:color w:val="FFF8E7"/>
                <w:sz w:val="20"/>
                <w:szCs w:val="20"/>
              </w:rPr>
              <w:t xml:space="preserve">— Dr. Khaled Abdulnaim Fendy  |  د. خالد عبدالنعيم فندي</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4"/>
      </w:pBdr>
      <w:spacing w:before="80"/>
      <w:jc w:val="center"/>
    </w:pPr>
    <w:r>
      <w:rPr>
        <w:rFonts w:ascii="Arial" w:cs="Arial" w:eastAsia="Arial" w:hAnsi="Arial"/>
        <w:color w:val="555555"/>
        <w:sz w:val="18"/>
        <w:szCs w:val="18"/>
      </w:rPr>
      <w:t xml:space="preserve">Upper Egypt  |  Est. 2009  |  honestfendy.com  |  6 Registered Patents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tcBorders>
            <w:top w:val="none" w:color="FFFFFF" w:sz="0"/>
            <w:left w:val="none" w:color="FFFFFF" w:sz="0"/>
            <w:bottom w:val="single" w:color="B8860B" w:sz="6"/>
            <w:right w:val="none" w:color="FFFFFF" w:sz="0"/>
          </w:tcBorders>
          <w:shd w:fill="1A4731" w:val="clear"/>
          <w:tcMar>
            <w:top w:type="dxa" w:w="80"/>
            <w:left w:type="dxa" w:w="200"/>
            <w:bottom w:type="dxa" w:w="80"/>
            <w:right w:type="dxa" w:w="200"/>
          </w:tcMar>
        </w:tcPr>
        <w:p>
          <w:pPr>
            <w:jc w:val="left"/>
          </w:pPr>
          <w:r>
            <w:rPr>
              <w:rFonts w:ascii="Arial" w:cs="Arial" w:eastAsia="Arial" w:hAnsi="Arial"/>
              <w:b/>
              <w:bCs/>
              <w:color w:val="FFFFFF"/>
              <w:sz w:val="20"/>
              <w:szCs w:val="20"/>
            </w:rPr>
            <w:t xml:space="preserve">Honest Fendy Foundation</w:t>
          </w:r>
        </w:p>
      </w:tc>
      <w:tc>
        <w:tcPr>
          <w:tcW w:type="dxa" w:w="4873"/>
          <w:tcBorders>
            <w:top w:val="none" w:color="FFFFFF" w:sz="0"/>
            <w:left w:val="none" w:color="FFFFFF" w:sz="0"/>
            <w:bottom w:val="single" w:color="B8860B" w:sz="6"/>
            <w:right w:val="none" w:color="FFFFFF" w:sz="0"/>
          </w:tcBorders>
          <w:shd w:fill="1A4731" w:val="clear"/>
          <w:tcMar>
            <w:top w:type="dxa" w:w="80"/>
            <w:left w:type="dxa" w:w="200"/>
            <w:bottom w:type="dxa" w:w="80"/>
            <w:right w:type="dxa" w:w="200"/>
          </w:tcMar>
        </w:tcPr>
        <w:p>
          <w:pPr>
            <w:jc w:val="right"/>
          </w:pPr>
          <w:r>
            <w:rPr>
              <w:rFonts w:ascii="Traditional Arabic" w:cs="Traditional Arabic" w:eastAsia="Traditional Arabic" w:hAnsi="Traditional Arabic"/>
              <w:b/>
              <w:bCs/>
              <w:color w:val="FFFFFF"/>
              <w:sz w:val="20"/>
              <w:szCs w:val="20"/>
            </w:rPr>
            <w:t xml:space="preserve">مؤسسة أونست فندي للابتكارات</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2026-05-03T20:26:47.033Z</dcterms:created>
  <dcterms:modified xsi:type="dcterms:W3CDTF">2026-05-03T20:26:47.055Z</dcterms:modified>
</cp:coreProperties>
</file>

<file path=docProps/custom.xml><?xml version="1.0" encoding="utf-8"?>
<Properties xmlns="http://schemas.openxmlformats.org/officeDocument/2006/custom-properties" xmlns:vt="http://schemas.openxmlformats.org/officeDocument/2006/docPropsVTypes"/>
</file>