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Arial" w:cs="Arial" w:eastAsia="Arial" w:hAnsi="Arial"/>
          <w:b/>
          <w:bCs/>
          <w:color w:val="1F4E79"/>
          <w:sz w:val="32"/>
          <w:szCs w:val="32"/>
        </w:rPr>
        <w:t xml:space="preserve">جمهورية مصر العربية</w:t>
      </w:r>
    </w:p>
    <w:p>
      <w:pPr>
        <w:spacing w:after="200" w:before="200"/>
        <w:jc w:val="center"/>
      </w:pPr>
      <w:r>
        <w:rPr>
          <w:rFonts w:ascii="Arial" w:cs="Arial" w:eastAsia="Arial" w:hAnsi="Arial"/>
          <w:b/>
          <w:bCs/>
          <w:color w:val="1F4E79"/>
          <w:sz w:val="32"/>
          <w:szCs w:val="32"/>
        </w:rPr>
        <w:t xml:space="preserve">أكاديمية البحث العلمي والتكنولوجيا</w:t>
      </w:r>
    </w:p>
    <w:p>
      <w:pPr>
        <w:spacing w:after="200" w:before="200"/>
        <w:jc w:val="center"/>
      </w:pPr>
      <w:r>
        <w:rPr>
          <w:rFonts w:ascii="Arial" w:cs="Arial" w:eastAsia="Arial" w:hAnsi="Arial"/>
          <w:b/>
          <w:bCs/>
          <w:color w:val="1F4E79"/>
          <w:sz w:val="32"/>
          <w:szCs w:val="32"/>
        </w:rPr>
        <w:t xml:space="preserve">مكتب براءات الاختراع</w:t>
      </w:r>
    </w:p>
    <w:p>
      <w:pPr>
        <w:pBdr>
          <w:bottom w:val="single" w:color="1F4E79" w:sz="6" w:space="1"/>
        </w:pBdr>
        <w:spacing w:after="200" w:before="200"/>
      </w:pPr>
      <w:r>
        <w:t xml:space="preserve"/>
      </w:r>
    </w:p>
    <w:p>
      <w:pPr>
        <w:spacing w:after="200" w:before="200"/>
        <w:jc w:val="center"/>
      </w:pPr>
      <w:r>
        <w:rPr>
          <w:rFonts w:ascii="Arial" w:cs="Arial" w:eastAsia="Arial" w:hAnsi="Arial"/>
          <w:b/>
          <w:bCs/>
          <w:color w:val="1F4E79"/>
          <w:sz w:val="32"/>
          <w:szCs w:val="32"/>
        </w:rPr>
        <w:t xml:space="preserve">طلب إيداع براءة اختراع</w:t>
      </w:r>
    </w:p>
    <w:p>
      <w:pPr>
        <w:spacing w:after="300" w:before="100"/>
        <w:jc w:val="center"/>
      </w:pPr>
      <w:r>
        <w:rPr>
          <w:rFonts w:ascii="Arial" w:cs="Arial" w:eastAsia="Arial" w:hAnsi="Arial"/>
          <w:color w:val="555555"/>
          <w:sz w:val="22"/>
          <w:szCs w:val="22"/>
        </w:rPr>
        <w:t xml:space="preserve">Patent Application — Filing Request</w:t>
      </w:r>
    </w:p>
    <w:p>
      <w:pPr>
        <w:pBdr>
          <w:bottom w:val="single" w:color="1F4E79" w:sz="4" w:space="1"/>
        </w:pBdr>
        <w:spacing w:after="120" w:before="240"/>
        <w:jc w:val="right"/>
      </w:pPr>
      <w:r>
        <w:rPr>
          <w:rFonts w:ascii="Arial" w:cs="Arial" w:eastAsia="Arial" w:hAnsi="Arial"/>
          <w:b/>
          <w:bCs/>
          <w:color w:val="1F4E79"/>
          <w:sz w:val="26"/>
          <w:szCs w:val="26"/>
        </w:rPr>
        <w:t xml:space="preserve">أولاً: بيانات مقدم الطلب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د. خالد عبد المنعم فندي</w:t>
            </w:r>
          </w:p>
        </w:tc>
        <w:tc>
          <w:tcPr>
            <w:tcW w:type="dxa" w:w="468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اسم المخترع</w:t>
            </w:r>
          </w:p>
        </w:tc>
      </w:tr>
      <w:tr>
        <w:tc>
          <w:tcPr>
            <w:tcW w:type="dxa" w:w="468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مؤسسة هونست فندي للابتكارات والحلول الرقمية</w:t>
            </w:r>
          </w:p>
        </w:tc>
        <w:tc>
          <w:tcPr>
            <w:tcW w:type="dxa" w:w="468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الجهة / المؤسسة</w:t>
            </w:r>
          </w:p>
        </w:tc>
      </w:tr>
      <w:tr>
        <w:tc>
          <w:tcPr>
            <w:tcW w:type="dxa" w:w="468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مجدد — أبريل 2026</w:t>
            </w:r>
          </w:p>
        </w:tc>
        <w:tc>
          <w:tcPr>
            <w:tcW w:type="dxa" w:w="468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السجل التجاري</w:t>
            </w:r>
          </w:p>
        </w:tc>
      </w:tr>
      <w:tr>
        <w:tc>
          <w:tcPr>
            <w:tcW w:type="dxa" w:w="468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أبريل 2026</w:t>
            </w:r>
          </w:p>
        </w:tc>
        <w:tc>
          <w:tcPr>
            <w:tcW w:type="dxa" w:w="468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التاريخ</w:t>
            </w:r>
          </w:p>
        </w:tc>
      </w:tr>
    </w:tbl>
    <w:p>
      <w:pPr>
        <w:spacing w:before="200"/>
      </w:pPr>
      <w:r>
        <w:t xml:space="preserve"/>
      </w:r>
    </w:p>
    <w:p>
      <w:pPr>
        <w:pBdr>
          <w:bottom w:val="single" w:color="1F4E79" w:sz="4" w:space="1"/>
        </w:pBdr>
        <w:spacing w:after="120" w:before="240"/>
        <w:jc w:val="right"/>
      </w:pPr>
      <w:r>
        <w:rPr>
          <w:rFonts w:ascii="Arial" w:cs="Arial" w:eastAsia="Arial" w:hAnsi="Arial"/>
          <w:b/>
          <w:bCs/>
          <w:color w:val="1F4E79"/>
          <w:sz w:val="26"/>
          <w:szCs w:val="26"/>
        </w:rPr>
        <w:t xml:space="preserve">ثانياً: عنوان الاختراع</w:t>
      </w:r>
    </w:p>
    <w:p>
      <w:pPr>
        <w:spacing w:after="120" w:before="120"/>
        <w:jc w:val="center"/>
      </w:pPr>
      <w:r>
        <w:rPr>
          <w:rFonts w:ascii="Arial" w:cs="Arial" w:eastAsia="Arial" w:hAnsi="Arial"/>
          <w:b/>
          <w:bCs/>
          <w:color w:val="1F4E79"/>
          <w:sz w:val="32"/>
          <w:szCs w:val="32"/>
        </w:rPr>
        <w:t xml:space="preserve">EG-IronGreen™</w:t>
      </w:r>
    </w:p>
    <w:p>
      <w:pPr>
        <w:spacing w:after="200" w:before="0"/>
        <w:jc w:val="center"/>
      </w:pPr>
      <w:r>
        <w:rPr>
          <w:rFonts w:ascii="Arial" w:cs="Arial" w:eastAsia="Arial" w:hAnsi="Arial"/>
          <w:b/>
          <w:bCs/>
          <w:sz w:val="24"/>
          <w:szCs w:val="24"/>
        </w:rPr>
        <w:t xml:space="preserve">منظومة إنتاج الحديد الإسفنجي الأخضر باستخدام الغاز التخليقي من المخلفات الزراعية المصرية</w:t>
      </w:r>
    </w:p>
    <w:p>
      <w:pPr>
        <w:pBdr>
          <w:bottom w:val="single" w:color="1F4E79" w:sz="4" w:space="1"/>
        </w:pBdr>
        <w:spacing w:after="120" w:before="240"/>
        <w:jc w:val="right"/>
      </w:pPr>
      <w:r>
        <w:rPr>
          <w:rFonts w:ascii="Arial" w:cs="Arial" w:eastAsia="Arial" w:hAnsi="Arial"/>
          <w:b/>
          <w:bCs/>
          <w:color w:val="1F4E79"/>
          <w:sz w:val="26"/>
          <w:szCs w:val="26"/>
        </w:rPr>
        <w:t xml:space="preserve">ثالثاً: مجال الاختراع</w:t>
      </w:r>
    </w:p>
    <w:p>
      <w:pPr>
        <w:spacing w:after="80" w:before="80"/>
        <w:jc w:val="right"/>
      </w:pPr>
      <w:r>
        <w:rPr>
          <w:rFonts w:ascii="Arial" w:cs="Arial" w:eastAsia="Arial" w:hAnsi="Arial"/>
          <w:sz w:val="22"/>
          <w:szCs w:val="22"/>
        </w:rPr>
        <w:t xml:space="preserve">يقع هذا الاختراع في مجال الهندسة الكيميائية والمعدنية البيئية، وتحديداً في تقنية إنتاج الحديد الإسفنجي (Direct Reduced Iron) باستخدام غاز تخليقي (Syngas) مُنتَج من مخلفات زراعية مصرية محلية بديلاً عن الغاز الطبيعي المستورد.</w:t>
      </w:r>
    </w:p>
    <w:p>
      <w:pPr>
        <w:pBdr>
          <w:bottom w:val="single" w:color="1F4E79" w:sz="4" w:space="1"/>
        </w:pBdr>
        <w:spacing w:after="120" w:before="240"/>
        <w:jc w:val="right"/>
      </w:pPr>
      <w:r>
        <w:rPr>
          <w:rFonts w:ascii="Arial" w:cs="Arial" w:eastAsia="Arial" w:hAnsi="Arial"/>
          <w:b/>
          <w:bCs/>
          <w:color w:val="1F4E79"/>
          <w:sz w:val="26"/>
          <w:szCs w:val="26"/>
        </w:rPr>
        <w:t xml:space="preserve">رابعاً: المشكلة التي يحلها الاختراع</w:t>
      </w:r>
    </w:p>
    <w:p>
      <w:pPr>
        <w:spacing w:after="80" w:before="80"/>
        <w:jc w:val="right"/>
      </w:pPr>
      <w:r>
        <w:rPr>
          <w:rFonts w:ascii="Arial" w:cs="Arial" w:eastAsia="Arial" w:hAnsi="Arial"/>
          <w:sz w:val="22"/>
          <w:szCs w:val="22"/>
        </w:rPr>
        <w:t xml:space="preserve">تعتمد مصانع الحديد الإسفنجي في مصر اعتماداً كلياً على الغاز الطبيعي المستورد، مما يرفع تكلفة الإنتاج إلى 56,000–67,000 جنيه للطن ويُعرِّض الصناعة لتقلبات أسعار الطاقة العالمية. في المقابل، تمتلك مصر أكثر من 35 مليون طن سنوياً من المخلفات الزراعية الرخيصة غير المستغلة.</w:t>
      </w:r>
    </w:p>
    <w:p>
      <w:pPr>
        <w:pBdr>
          <w:bottom w:val="single" w:color="1F4E79" w:sz="4" w:space="1"/>
        </w:pBdr>
        <w:spacing w:after="120" w:before="240"/>
        <w:jc w:val="right"/>
      </w:pPr>
      <w:r>
        <w:rPr>
          <w:rFonts w:ascii="Arial" w:cs="Arial" w:eastAsia="Arial" w:hAnsi="Arial"/>
          <w:b/>
          <w:bCs/>
          <w:color w:val="1F4E79"/>
          <w:sz w:val="26"/>
          <w:szCs w:val="26"/>
        </w:rPr>
        <w:t xml:space="preserve">خامساً: وصف الاختراع</w:t>
      </w:r>
    </w:p>
    <w:p>
      <w:pPr>
        <w:spacing w:after="80" w:before="80"/>
        <w:jc w:val="right"/>
      </w:pPr>
      <w:r>
        <w:rPr>
          <w:rFonts w:ascii="Arial" w:cs="Arial" w:eastAsia="Arial" w:hAnsi="Arial"/>
          <w:b/>
          <w:bCs/>
          <w:sz w:val="22"/>
          <w:szCs w:val="22"/>
        </w:rPr>
        <w:t xml:space="preserve">المكونات الأساسية للمنظومة:</w:t>
      </w:r>
    </w:p>
    <w:p>
      <w:pPr>
        <w:spacing w:after="80" w:before="80"/>
        <w:jc w:val="right"/>
      </w:pPr>
      <w:r>
        <w:rPr>
          <w:rFonts w:ascii="Arial" w:cs="Arial" w:eastAsia="Arial" w:hAnsi="Arial"/>
          <w:sz w:val="22"/>
          <w:szCs w:val="22"/>
        </w:rPr>
        <w:t xml:space="preserve">1. وحدة التغازز (Gasification Unit): تحويل المخلفات الزراعية (قش أرز، نوى تمر، سعف نخيل، ورد النيل المجفف) إلى غاز تخليقي عند درجة حرارة 850-950°م.</w:t>
      </w:r>
    </w:p>
    <w:p>
      <w:pPr>
        <w:spacing w:after="80" w:before="80"/>
        <w:jc w:val="right"/>
      </w:pPr>
      <w:r>
        <w:rPr>
          <w:rFonts w:ascii="Arial" w:cs="Arial" w:eastAsia="Arial" w:hAnsi="Arial"/>
          <w:sz w:val="22"/>
          <w:szCs w:val="22"/>
        </w:rPr>
        <w:t xml:space="preserve">2. منظومة إزالة القطران الرباعية المتتالية: تقنية فريدة تعتمد على محفزات طبيعية مصرية (بازلت سيناء + دولوميت البحر الأحمر + خبث حديد + محفز Ni-Fe على حامل فحم EG-BBS) بكفاءة إجمالية تتجاوز 99.5%.</w:t>
      </w:r>
    </w:p>
    <w:p>
      <w:pPr>
        <w:spacing w:after="80" w:before="80"/>
        <w:jc w:val="right"/>
      </w:pPr>
      <w:r>
        <w:rPr>
          <w:rFonts w:ascii="Arial" w:cs="Arial" w:eastAsia="Arial" w:hAnsi="Arial"/>
          <w:sz w:val="22"/>
          <w:szCs w:val="22"/>
        </w:rPr>
        <w:t xml:space="preserve">3. وحدة Water-Gas Shift: ضبط نسبة H₂/CO إلى 2:1 المثلى لعملية الاختزال المباشر.</w:t>
      </w:r>
    </w:p>
    <w:p>
      <w:pPr>
        <w:spacing w:after="80" w:before="80"/>
        <w:jc w:val="right"/>
      </w:pPr>
      <w:r>
        <w:rPr>
          <w:rFonts w:ascii="Arial" w:cs="Arial" w:eastAsia="Arial" w:hAnsi="Arial"/>
          <w:sz w:val="22"/>
          <w:szCs w:val="22"/>
        </w:rPr>
        <w:t xml:space="preserve">4. تغذية الغاز النظيف لأفران الاختزال المباشر القائمة لإنتاج حديد إسفنجي نقاء &gt; 93% معادل لمعيار ASTM A930.</w:t>
      </w:r>
    </w:p>
    <w:p>
      <w:pPr>
        <w:spacing w:after="80" w:before="80"/>
        <w:jc w:val="right"/>
      </w:pPr>
      <w:r>
        <w:rPr>
          <w:rFonts w:ascii="Arial" w:cs="Arial" w:eastAsia="Arial" w:hAnsi="Arial"/>
          <w:sz w:val="22"/>
          <w:szCs w:val="22"/>
        </w:rPr>
        <w:t xml:space="preserve">5. نظام استرداد الطاقة الحرارية: يُحقق الاكتفاء الذاتي الطاقي بصافي استهلاك خارجي 0.8 GJ/طن مقابل 11 GJ بالطريقة التقليدية.</w:t>
      </w:r>
    </w:p>
    <w:p>
      <w:pPr>
        <w:pBdr>
          <w:bottom w:val="single" w:color="1F4E79" w:sz="4" w:space="1"/>
        </w:pBdr>
        <w:spacing w:after="120" w:before="240"/>
        <w:jc w:val="right"/>
      </w:pPr>
      <w:r>
        <w:rPr>
          <w:rFonts w:ascii="Arial" w:cs="Arial" w:eastAsia="Arial" w:hAnsi="Arial"/>
          <w:b/>
          <w:bCs/>
          <w:color w:val="1F4E79"/>
          <w:sz w:val="26"/>
          <w:szCs w:val="26"/>
        </w:rPr>
        <w:t xml:space="preserve">سادساً: المزايا التقنية الجوهرية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الميزة</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الطريقة التقليدية</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EG-IronGreen™</w:t>
            </w:r>
          </w:p>
        </w:tc>
      </w:tr>
      <w:tr>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تكلفة الطن</w:t>
            </w:r>
          </w:p>
        </w:tc>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56,000–67,000 جنيه</w:t>
            </w:r>
          </w:p>
        </w:tc>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11,500–16,000 جنيه</w:t>
            </w:r>
          </w:p>
        </w:tc>
      </w:tr>
      <w:tr>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مصدر الوقود</w:t>
            </w:r>
          </w:p>
        </w:tc>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غاز طبيعي مستورد</w:t>
            </w:r>
          </w:p>
        </w:tc>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مخلفات زراعية مصرية 100%</w:t>
            </w:r>
          </w:p>
        </w:tc>
      </w:tr>
      <w:tr>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انبعاثات CO₂/طن</w:t>
            </w:r>
          </w:p>
        </w:tc>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1.8–2.2 طن</w:t>
            </w:r>
          </w:p>
        </w:tc>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0.3–0.5 طن (صافي)</w:t>
            </w:r>
          </w:p>
        </w:tc>
      </w:tr>
      <w:tr>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أهلية CBAM أوروبا</w:t>
            </w:r>
          </w:p>
        </w:tc>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رسوم جمركية عالية</w:t>
            </w:r>
          </w:p>
        </w:tc>
        <w:tc>
          <w:tcPr>
            <w:tcW w:type="dxa" w:w="3120"/>
            <w:tcBorders>
              <w:top w:val="single" w:color="1F4E79" w:sz="1"/>
              <w:left w:val="single" w:color="1F4E79" w:sz="1"/>
              <w:bottom w:val="single" w:color="1F4E79" w:sz="1"/>
              <w:right w:val="single" w:color="1F4E79" w:sz="1"/>
            </w:tcBorders>
            <w:shd w:fill="FFFFFF" w:val="clear"/>
            <w:tcMar>
              <w:top w:type="dxa" w:w="100"/>
              <w:left w:type="dxa" w:w="150"/>
              <w:bottom w:type="dxa" w:w="100"/>
              <w:right w:type="dxa" w:w="150"/>
            </w:tcMar>
          </w:tcPr>
          <w:p>
            <w:pPr>
              <w:jc w:val="right"/>
            </w:pPr>
            <w:r>
              <w:rPr>
                <w:rFonts w:ascii="Arial" w:cs="Arial" w:eastAsia="Arial" w:hAnsi="Arial"/>
                <w:b w:val="false"/>
                <w:bCs w:val="false"/>
                <w:color w:val="000000"/>
                <w:sz w:val="20"/>
                <w:szCs w:val="20"/>
              </w:rPr>
              <w:t xml:space="preserve">معفى — أفضلية تنافسية</w:t>
            </w:r>
          </w:p>
        </w:tc>
      </w:tr>
    </w:tbl>
    <w:p>
      <w:pPr>
        <w:spacing w:before="200"/>
      </w:pPr>
      <w:r>
        <w:t xml:space="preserve"/>
      </w:r>
    </w:p>
    <w:p>
      <w:pPr>
        <w:pBdr>
          <w:bottom w:val="single" w:color="1F4E79" w:sz="4" w:space="1"/>
        </w:pBdr>
        <w:spacing w:after="120" w:before="240"/>
        <w:jc w:val="right"/>
      </w:pPr>
      <w:r>
        <w:rPr>
          <w:rFonts w:ascii="Arial" w:cs="Arial" w:eastAsia="Arial" w:hAnsi="Arial"/>
          <w:b/>
          <w:bCs/>
          <w:color w:val="1F4E79"/>
          <w:sz w:val="26"/>
          <w:szCs w:val="26"/>
        </w:rPr>
        <w:t xml:space="preserve">سابعاً: المطالبات (Claims)</w:t>
      </w:r>
    </w:p>
    <w:p>
      <w:pPr>
        <w:spacing w:after="80" w:before="80"/>
        <w:jc w:val="right"/>
      </w:pPr>
      <w:r>
        <w:rPr>
          <w:rFonts w:ascii="Arial" w:cs="Arial" w:eastAsia="Arial" w:hAnsi="Arial"/>
          <w:sz w:val="22"/>
          <w:szCs w:val="22"/>
        </w:rPr>
        <w:t xml:space="preserve">المطالبة الأولى: منظومة متكاملة لإنتاج الحديد الإسفنجي الأخضر تعتمد على الغاز التخليقي المُنتَج حصرياً من مزيج مُحدد من المخلفات الزراعية المصرية.</w:t>
      </w:r>
    </w:p>
    <w:p>
      <w:pPr>
        <w:spacing w:after="80" w:before="80"/>
        <w:jc w:val="right"/>
      </w:pPr>
      <w:r>
        <w:rPr>
          <w:rFonts w:ascii="Arial" w:cs="Arial" w:eastAsia="Arial" w:hAnsi="Arial"/>
          <w:sz w:val="22"/>
          <w:szCs w:val="22"/>
        </w:rPr>
        <w:t xml:space="preserve">المطالبة الثانية: تقنية إزالة القطران الرباعية المتتالية باستخدام محفزات طبيعية مصرية المصدر بكفاءة &gt; 99.5%.</w:t>
      </w:r>
    </w:p>
    <w:p>
      <w:pPr>
        <w:spacing w:after="80" w:before="80"/>
        <w:jc w:val="right"/>
      </w:pPr>
      <w:r>
        <w:rPr>
          <w:rFonts w:ascii="Arial" w:cs="Arial" w:eastAsia="Arial" w:hAnsi="Arial"/>
          <w:sz w:val="22"/>
          <w:szCs w:val="22"/>
        </w:rPr>
        <w:t xml:space="preserve">المطالبة الثالثة: استخدام فحم EG-BBS كحامل لمحفز Ni-Fe في الطبقة الثانية من منظومة إزالة القطران.</w:t>
      </w:r>
    </w:p>
    <w:p>
      <w:pPr>
        <w:spacing w:after="80" w:before="80"/>
        <w:jc w:val="right"/>
      </w:pPr>
      <w:r>
        <w:rPr>
          <w:rFonts w:ascii="Arial" w:cs="Arial" w:eastAsia="Arial" w:hAnsi="Arial"/>
          <w:sz w:val="22"/>
          <w:szCs w:val="22"/>
        </w:rPr>
        <w:t xml:space="preserve">المطالبة الرابعة: نظام الاكتفاء الطاقي الذاتي المتكامل باستهلاك صافٍ 0.8 GJ/طن.</w:t>
      </w:r>
    </w:p>
    <w:p>
      <w:pPr>
        <w:spacing w:before="200"/>
      </w:pPr>
      <w:r>
        <w:t xml:space="preserve"/>
      </w:r>
    </w:p>
    <w:p>
      <w:pPr>
        <w:pBdr>
          <w:bottom w:val="single" w:color="1F4E79" w:sz="6" w:space="1"/>
        </w:pBdr>
        <w:spacing w:after="200" w:before="200"/>
      </w:pPr>
      <w:r>
        <w:t xml:space="preserve"/>
      </w:r>
    </w:p>
    <w:p>
      <w:pPr>
        <w:spacing w:before="300"/>
        <w:jc w:val="right"/>
      </w:pPr>
      <w:r>
        <w:rPr>
          <w:rFonts w:ascii="Arial" w:cs="Arial" w:eastAsia="Arial" w:hAnsi="Arial"/>
          <w:sz w:val="22"/>
          <w:szCs w:val="22"/>
        </w:rPr>
        <w:t xml:space="preserve">توقيع مقدم الطلب: ___________________________      التاريخ: أبريل 2026</w:t>
      </w:r>
    </w:p>
    <w:p>
      <w:pPr>
        <w:spacing w:before="100"/>
        <w:jc w:val="right"/>
      </w:pPr>
      <w:r>
        <w:rPr>
          <w:rFonts w:ascii="Arial" w:cs="Arial" w:eastAsia="Arial" w:hAnsi="Arial"/>
          <w:b/>
          <w:bCs/>
          <w:sz w:val="22"/>
          <w:szCs w:val="22"/>
        </w:rPr>
        <w:t xml:space="preserve">د. خالد عبد المنعم فندي — مؤسسة هونست فندي للابتكارات والحلول الرقمية</w:t>
      </w:r>
    </w:p>
    <w:p>
      <w:pPr>
        <w:spacing w:before="200"/>
        <w:jc w:val="center"/>
      </w:pPr>
      <w:r>
        <w:rPr>
          <w:rFonts w:ascii="Arial" w:cs="Arial" w:eastAsia="Arial" w:hAnsi="Arial"/>
          <w:i/>
          <w:iCs/>
          <w:color w:val="888888"/>
          <w:sz w:val="18"/>
          <w:szCs w:val="18"/>
        </w:rPr>
        <w:t xml:space="preserve">Patent Pending — Application submitted to Egyptian Patent Office,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2026-04-20T12:01:46.391Z</dcterms:created>
  <dcterms:modified xsi:type="dcterms:W3CDTF">2026-04-20T12:01:46.392Z</dcterms:modified>
</cp:coreProperties>
</file>

<file path=docProps/custom.xml><?xml version="1.0" encoding="utf-8"?>
<Properties xmlns="http://schemas.openxmlformats.org/officeDocument/2006/custom-properties" xmlns:vt="http://schemas.openxmlformats.org/officeDocument/2006/docPropsVTypes"/>
</file>