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p>
      <w:pPr>
        <w:bidi/>
        <w:spacing w:after="40" w:before="40"/>
        <w:jc w:val="center"/>
      </w:pPr>
      <w:r>
        <w:rPr>
          <w:rFonts w:ascii="Arial" w:cs="Arial" w:eastAsia="Arial" w:hAnsi="Arial"/>
          <w:b w:val="false"/>
          <w:bCs w:val="false"/>
          <w:color w:val="555555"/>
          <w:sz w:val="22"/>
          <w:szCs w:val="22"/>
        </w:rPr>
        <w:t xml:space="preserve">المملكة العربية السعودية</w:t>
      </w:r>
    </w:p>
    <w:p>
      <w:pPr>
        <w:bidi/>
        <w:spacing w:after="40" w:before="40"/>
        <w:jc w:val="center"/>
      </w:pPr>
      <w:r>
        <w:rPr>
          <w:rFonts w:ascii="Arial" w:cs="Arial" w:eastAsia="Arial" w:hAnsi="Arial"/>
          <w:b/>
          <w:bCs/>
          <w:color w:val="1a5c38"/>
          <w:sz w:val="26"/>
          <w:szCs w:val="26"/>
        </w:rPr>
        <w:t xml:space="preserve">الهيئة السعودية للملكية الفكرية</w:t>
      </w:r>
    </w:p>
    <w:p>
      <w:pPr>
        <w:bidi/>
        <w:spacing w:after="40" w:before="40"/>
        <w:jc w:val="center"/>
      </w:pPr>
      <w:r>
        <w:rPr>
          <w:rFonts w:ascii="Arial" w:cs="Arial" w:eastAsia="Arial" w:hAnsi="Arial"/>
          <w:b w:val="false"/>
          <w:bCs w:val="false"/>
          <w:color w:val="555555"/>
          <w:sz w:val="18"/>
          <w:szCs w:val="18"/>
        </w:rPr>
        <w:t xml:space="preserve">Saudi Authority for Intellectual Property — SAIP</w:t>
      </w:r>
    </w:p>
    <w:p>
      <w:pPr>
        <w:spacing w:after="0" w:before="40"/>
      </w:pPr>
      <w:r>
        <w:t xml:space="preserve"/>
      </w:r>
    </w:p>
    <w:p>
      <w:pPr>
        <w:pBdr>
          <w:bottom w:val="single" w:color="1a5c38" w:sz="8" w:space="1"/>
        </w:pBdr>
        <w:spacing w:after="0" w:before="0"/>
      </w:pPr>
      <w:r>
        <w:rPr>
          <w:rFonts w:ascii="Arial" w:cs="Arial" w:eastAsia="Arial" w:hAnsi="Arial"/>
        </w:rPr>
        <w:t xml:space="preserve"/>
      </w:r>
    </w:p>
    <w:p>
      <w:pPr>
        <w:spacing w:after="0" w:before="60"/>
      </w:pPr>
      <w:r>
        <w:t xml:space="preserve"/>
      </w:r>
    </w:p>
    <w:p>
      <w:pPr>
        <w:bidi/>
        <w:spacing w:after="40" w:before="40"/>
        <w:jc w:val="center"/>
      </w:pPr>
      <w:r>
        <w:rPr>
          <w:rFonts w:ascii="Arial" w:cs="Arial" w:eastAsia="Arial" w:hAnsi="Arial"/>
          <w:b w:val="false"/>
          <w:bCs w:val="false"/>
          <w:color w:val="555555"/>
          <w:sz w:val="20"/>
          <w:szCs w:val="20"/>
        </w:rPr>
        <w:t xml:space="preserve">طلب براءة اختراع</w:t>
      </w:r>
    </w:p>
    <w:p>
      <w:pPr>
        <w:spacing w:after="0" w:before="20"/>
      </w:pPr>
      <w:r>
        <w:t xml:space="preserve"/>
      </w:r>
    </w:p>
    <w:p>
      <w:pPr>
        <w:bidi/>
        <w:spacing w:after="40" w:before="40"/>
        <w:jc w:val="center"/>
      </w:pPr>
      <w:r>
        <w:rPr>
          <w:rFonts w:ascii="Arial" w:cs="Arial" w:eastAsia="Arial" w:hAnsi="Arial"/>
          <w:b/>
          <w:bCs/>
          <w:color w:val="1a5c38"/>
          <w:sz w:val="40"/>
          <w:szCs w:val="40"/>
        </w:rPr>
        <w:t xml:space="preserve">الكربون النشط الحي™ — فندي بيو-AC</w:t>
      </w:r>
    </w:p>
    <w:p>
      <w:pPr>
        <w:bidi/>
        <w:spacing w:after="40" w:before="40"/>
        <w:jc w:val="center"/>
      </w:pPr>
      <w:r>
        <w:rPr>
          <w:rFonts w:ascii="Arial" w:cs="Arial" w:eastAsia="Arial" w:hAnsi="Arial"/>
          <w:b/>
          <w:bCs/>
          <w:color w:val="b8860b"/>
          <w:sz w:val="24"/>
          <w:szCs w:val="24"/>
        </w:rPr>
        <w:t xml:space="preserve">Fendy BioActivated Carbon™</w:t>
      </w:r>
    </w:p>
    <w:p>
      <w:pPr>
        <w:spacing w:after="0" w:before="40"/>
      </w:pPr>
      <w:r>
        <w:t xml:space="preserve"/>
      </w:r>
    </w:p>
    <w:p>
      <w:pPr>
        <w:bidi/>
        <w:spacing w:after="40" w:before="40"/>
        <w:jc w:val="center"/>
      </w:pPr>
      <w:r>
        <w:rPr>
          <w:rFonts w:ascii="Arial" w:cs="Arial" w:eastAsia="Arial" w:hAnsi="Arial"/>
          <w:b w:val="false"/>
          <w:bCs w:val="false"/>
          <w:color w:val="555555"/>
          <w:sz w:val="19"/>
          <w:szCs w:val="19"/>
        </w:rPr>
        <w:t xml:space="preserve">كربون نشط حيوي مزدوج الوظيفة من مخلفات النخيل والزيتون والبازلت — بروتوكول HSBAP™</w:t>
      </w:r>
    </w:p>
    <w:p>
      <w:pPr>
        <w:spacing w:after="0" w:before="80"/>
      </w:pPr>
      <w:r>
        <w:t xml:space="preserve"/>
      </w:r>
    </w:p>
    <w:p>
      <w:pPr>
        <w:pBdr>
          <w:bottom w:val="single" w:color="b8860b" w:sz="4" w:space="1"/>
        </w:pBdr>
        <w:spacing w:after="40" w:before="0"/>
      </w:pPr>
      <w:r>
        <w:rPr>
          <w:rFonts w:ascii="Arial" w:cs="Arial" w:eastAsia="Arial" w:hAnsi="Arial"/>
        </w:rPr>
        <w:t xml:space="preserve"/>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اسم المخترع</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color w:val="2c2c2c"/>
                <w:sz w:val="19"/>
                <w:szCs w:val="19"/>
              </w:rPr>
              <w:t xml:space="preserve">د. خالد عبدالنعيم فندي</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الجهة المالكة</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color w:val="2c2c2c"/>
                <w:sz w:val="19"/>
                <w:szCs w:val="19"/>
              </w:rPr>
              <w:t xml:space="preserve">Honest Fendy Foundation™ for Innovations &amp; Digital Solutions</w:t>
            </w:r>
          </w:p>
        </w:tc>
      </w:tr>
      <w:tr>
        <w:tc>
          <w:tcPr>
            <w:tcW w:type="dxa" w:w="300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تاريخ الإيداع</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color w:val="2c2c2c"/>
                <w:sz w:val="19"/>
                <w:szCs w:val="19"/>
              </w:rPr>
              <w:t xml:space="preserve">مايو 2026</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تصنيف IPC المقترح</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color w:val="2c2c2c"/>
                <w:sz w:val="19"/>
                <w:szCs w:val="19"/>
              </w:rPr>
              <w:t xml:space="preserve">C01B 32/354 | C02F 1/28 | C12N 1/20</w:t>
            </w:r>
          </w:p>
        </w:tc>
      </w:tr>
      <w:tr>
        <w:tc>
          <w:tcPr>
            <w:tcW w:type="dxa" w:w="300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درجة السرية</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color w:val="2c2c2c"/>
                <w:sz w:val="19"/>
                <w:szCs w:val="19"/>
              </w:rPr>
              <w:t xml:space="preserve">سري — للاستخدام الرسمي فقط</w:t>
            </w:r>
          </w:p>
        </w:tc>
      </w:tr>
    </w:tbl>
    <w:p>
      <w:pPr>
        <w:spacing w:after="0" w:before="60"/>
      </w:pPr>
      <w:r>
        <w:t xml:space="preserve"/>
      </w:r>
    </w:p>
    <w:p>
      <w:pPr>
        <w:spacing w:after="0" w:before="0"/>
      </w:pPr>
      <w:r>
        <w:br w:type="page"/>
      </w:r>
    </w:p>
    <w:p>
      <w:pPr>
        <w:spacing w:after="0" w:before="140"/>
      </w:pPr>
      <w:r>
        <w:t xml:space="preserve"/>
      </w:r>
    </w:p>
    <w:p>
      <w:pPr>
        <w:pBdr>
          <w:top w:val="single" w:color="b8860b" w:sz="3"/>
          <w:bottom w:val="single" w:color="b8860b" w:sz="3"/>
        </w:pBdr>
        <w:shd w:fill="1a5c38" w:val="clear"/>
        <w:bidi/>
        <w:spacing w:after="0" w:before="0"/>
        <w:ind w:left="360" w:right="360"/>
        <w:jc w:val="right"/>
      </w:pPr>
      <w:r>
        <w:rPr>
          <w:rFonts w:ascii="Arial" w:cs="Arial" w:eastAsia="Arial" w:hAnsi="Arial"/>
          <w:b/>
          <w:bCs/>
          <w:color w:val="FFFFFF"/>
          <w:sz w:val="24"/>
          <w:szCs w:val="24"/>
        </w:rPr>
        <w:t xml:space="preserve">1. الملخص الفني للاختراع</w:t>
      </w:r>
    </w:p>
    <w:p>
      <w:pPr>
        <w:spacing w:after="60" w:before="60"/>
      </w:pPr>
      <w:r>
        <w:t xml:space="preserve"/>
      </w:r>
    </w:p>
    <w:p>
      <w:pPr>
        <w:bidi/>
        <w:spacing w:after="60" w:before="60"/>
        <w:jc w:val="right"/>
      </w:pPr>
      <w:r>
        <w:rPr>
          <w:rFonts w:ascii="Arial" w:cs="Arial" w:eastAsia="Arial" w:hAnsi="Arial"/>
          <w:b w:val="false"/>
          <w:bCs w:val="false"/>
          <w:color w:val="2c2c2c"/>
          <w:sz w:val="20"/>
          <w:szCs w:val="20"/>
        </w:rPr>
        <w:t xml:space="preserve">يتعلق هذا الاختراع بطريقة إنتاج كربون نشط حي من مزيج مخلفات زراعية سعودية — جريد النخيل ونوى البلح ونوى الزيتون والبازلت المطحون — عبر بروتوكول HSBAP™ السداسي المراحل. يتميز المنتج بدمج الامتصاص الكيميائي للملوثات مع التحليل البيولوجي عبر تلقيح Bacillus subtilis في المسام، مما ينتج كربوناً نشطاً حياً مزدوج الوظيفة لم يُسجَّل له مثيل عالمياً. رقم اليود المتوقع لا يقل عن 900 ملغ/غ وفق معيار AWWA.</w:t>
      </w:r>
    </w:p>
    <w:p>
      <w:pPr>
        <w:spacing w:after="0" w:before="40"/>
      </w:pPr>
      <w:r>
        <w:t xml:space="preserve"/>
      </w:r>
    </w:p>
    <w:p>
      <w:pPr>
        <w:spacing w:after="80" w:before="80"/>
        <w:jc w:val="center"/>
      </w:pPr>
      <w:r>
        <w:t xml:space="preserve">⸻</w:t>
      </w:r>
    </w:p>
    <w:p>
      <w:pPr>
        <w:spacing w:after="0" w:before="140"/>
      </w:pPr>
      <w:r>
        <w:t xml:space="preserve"/>
      </w:r>
    </w:p>
    <w:p>
      <w:pPr>
        <w:pBdr>
          <w:top w:val="single" w:color="b8860b" w:sz="3"/>
          <w:bottom w:val="single" w:color="b8860b" w:sz="3"/>
        </w:pBdr>
        <w:shd w:fill="1a5c38" w:val="clear"/>
        <w:bidi/>
        <w:spacing w:after="0" w:before="0"/>
        <w:ind w:left="360" w:right="360"/>
        <w:jc w:val="right"/>
      </w:pPr>
      <w:r>
        <w:rPr>
          <w:rFonts w:ascii="Arial" w:cs="Arial" w:eastAsia="Arial" w:hAnsi="Arial"/>
          <w:b/>
          <w:bCs/>
          <w:color w:val="FFFFFF"/>
          <w:sz w:val="24"/>
          <w:szCs w:val="24"/>
        </w:rPr>
        <w:t xml:space="preserve">2. الخلفية التقنية والمشكلة القائمة</w:t>
      </w:r>
    </w:p>
    <w:p>
      <w:pPr>
        <w:spacing w:after="60" w:before="60"/>
      </w:pPr>
      <w:r>
        <w:t xml:space="preserve"/>
      </w:r>
    </w:p>
    <w:p>
      <w:pPr>
        <w:bidi/>
        <w:spacing w:after="60" w:before="60"/>
        <w:jc w:val="right"/>
      </w:pPr>
      <w:r>
        <w:rPr>
          <w:rFonts w:ascii="Arial" w:cs="Arial" w:eastAsia="Arial" w:hAnsi="Arial"/>
          <w:b w:val="false"/>
          <w:bCs w:val="false"/>
          <w:color w:val="2c2c2c"/>
          <w:sz w:val="20"/>
          <w:szCs w:val="20"/>
        </w:rPr>
        <w:t xml:space="preserve">تستورد المملكة العربية السعودية الكربون النشط بالكامل تقريباً من الهند والصين بتكلفة تجاوزت 16.7 مليون دولار سنوياً، بينما تحرق ملايين الأطنان من المخلفات الزراعية التي هي المادة الخام الأولى لإنتاجه. الحلول الموجودة تفتقر إلى:</w:t>
      </w:r>
    </w:p>
    <w:p>
      <w:pPr>
        <w:spacing w:after="0" w:before="20"/>
      </w:pPr>
      <w:r>
        <w:t xml:space="preserve"/>
      </w:r>
    </w:p>
    <w:p>
      <w:pPr>
        <w:pStyle w:val="ListParagraph"/>
        <w:numPr>
          <w:ilvl w:val="0"/>
          <w:numId w:val="2"/>
        </w:numPr>
        <w:bidi/>
        <w:spacing w:after="40" w:before="40"/>
        <w:jc w:val="right"/>
      </w:pPr>
      <w:r>
        <w:rPr>
          <w:rFonts w:ascii="Arial" w:cs="Arial" w:eastAsia="Arial" w:hAnsi="Arial"/>
          <w:color w:val="2c2c2c"/>
          <w:sz w:val="20"/>
          <w:szCs w:val="20"/>
        </w:rPr>
        <w:t xml:space="preserve">التنشيط البيولوجي — الكربون التجاري يمتص الملوثات كيميائياً فقط دون تحليلها</w:t>
      </w:r>
    </w:p>
    <w:p>
      <w:pPr>
        <w:pStyle w:val="ListParagraph"/>
        <w:numPr>
          <w:ilvl w:val="0"/>
          <w:numId w:val="2"/>
        </w:numPr>
        <w:bidi/>
        <w:spacing w:after="40" w:before="40"/>
        <w:jc w:val="right"/>
      </w:pPr>
      <w:r>
        <w:rPr>
          <w:rFonts w:ascii="Arial" w:cs="Arial" w:eastAsia="Arial" w:hAnsi="Arial"/>
          <w:color w:val="2c2c2c"/>
          <w:sz w:val="20"/>
          <w:szCs w:val="20"/>
        </w:rPr>
        <w:t xml:space="preserve">إنتاج من مخلفات محلية — كل الإنتاج العالمي يعتمد على فحم الخشب أو جوز الهند المستورد</w:t>
      </w:r>
    </w:p>
    <w:p>
      <w:pPr>
        <w:pStyle w:val="ListParagraph"/>
        <w:numPr>
          <w:ilvl w:val="0"/>
          <w:numId w:val="2"/>
        </w:numPr>
        <w:bidi/>
        <w:spacing w:after="40" w:before="40"/>
        <w:jc w:val="right"/>
      </w:pPr>
      <w:r>
        <w:rPr>
          <w:rFonts w:ascii="Arial" w:cs="Arial" w:eastAsia="Arial" w:hAnsi="Arial"/>
          <w:color w:val="2c2c2c"/>
          <w:sz w:val="20"/>
          <w:szCs w:val="20"/>
        </w:rPr>
        <w:t xml:space="preserve">التنشيط بالبخار الذاتي — لا توجد طريقة تجمع كلوريد الزنك مع البخار الذاتي في خطوة واحدة</w:t>
      </w:r>
    </w:p>
    <w:p>
      <w:pPr>
        <w:spacing w:after="0" w:before="40"/>
      </w:pPr>
      <w:r>
        <w:t xml:space="preserve"/>
      </w:r>
    </w:p>
    <w:p>
      <w:pPr>
        <w:spacing w:after="80" w:before="80"/>
        <w:jc w:val="center"/>
      </w:pPr>
      <w:r>
        <w:t xml:space="preserve">⸻</w:t>
      </w:r>
    </w:p>
    <w:p>
      <w:pPr>
        <w:spacing w:after="0" w:before="140"/>
      </w:pPr>
      <w:r>
        <w:t xml:space="preserve"/>
      </w:r>
    </w:p>
    <w:p>
      <w:pPr>
        <w:pBdr>
          <w:top w:val="single" w:color="b8860b" w:sz="3"/>
          <w:bottom w:val="single" w:color="b8860b" w:sz="3"/>
        </w:pBdr>
        <w:shd w:fill="1a5c38" w:val="clear"/>
        <w:bidi/>
        <w:spacing w:after="0" w:before="0"/>
        <w:ind w:left="360" w:right="360"/>
        <w:jc w:val="right"/>
      </w:pPr>
      <w:r>
        <w:rPr>
          <w:rFonts w:ascii="Arial" w:cs="Arial" w:eastAsia="Arial" w:hAnsi="Arial"/>
          <w:b/>
          <w:bCs/>
          <w:color w:val="FFFFFF"/>
          <w:sz w:val="24"/>
          <w:szCs w:val="24"/>
        </w:rPr>
        <w:t xml:space="preserve">3. مجال الاختراع</w:t>
      </w:r>
    </w:p>
    <w:p>
      <w:pPr>
        <w:spacing w:after="60" w:before="60"/>
      </w:pPr>
      <w:r>
        <w:t xml:space="preserve"/>
      </w:r>
    </w:p>
    <w:p>
      <w:pPr>
        <w:pStyle w:val="ListParagraph"/>
        <w:numPr>
          <w:ilvl w:val="0"/>
          <w:numId w:val="2"/>
        </w:numPr>
        <w:bidi/>
        <w:spacing w:after="40" w:before="40"/>
        <w:jc w:val="right"/>
      </w:pPr>
      <w:r>
        <w:rPr>
          <w:rFonts w:ascii="Arial" w:cs="Arial" w:eastAsia="Arial" w:hAnsi="Arial"/>
          <w:color w:val="2c2c2c"/>
          <w:sz w:val="20"/>
          <w:szCs w:val="20"/>
        </w:rPr>
        <w:t xml:space="preserve">إنتاج الكربون النشط من المخلفات الزراعية</w:t>
      </w:r>
    </w:p>
    <w:p>
      <w:pPr>
        <w:pStyle w:val="ListParagraph"/>
        <w:numPr>
          <w:ilvl w:val="0"/>
          <w:numId w:val="2"/>
        </w:numPr>
        <w:bidi/>
        <w:spacing w:after="40" w:before="40"/>
        <w:jc w:val="right"/>
      </w:pPr>
      <w:r>
        <w:rPr>
          <w:rFonts w:ascii="Arial" w:cs="Arial" w:eastAsia="Arial" w:hAnsi="Arial"/>
          <w:color w:val="2c2c2c"/>
          <w:sz w:val="20"/>
          <w:szCs w:val="20"/>
        </w:rPr>
        <w:t xml:space="preserve">تقنيات تنقية المياه والغازات الصناعية</w:t>
      </w:r>
    </w:p>
    <w:p>
      <w:pPr>
        <w:pStyle w:val="ListParagraph"/>
        <w:numPr>
          <w:ilvl w:val="0"/>
          <w:numId w:val="2"/>
        </w:numPr>
        <w:bidi/>
        <w:spacing w:after="40" w:before="40"/>
        <w:jc w:val="right"/>
      </w:pPr>
      <w:r>
        <w:rPr>
          <w:rFonts w:ascii="Arial" w:cs="Arial" w:eastAsia="Arial" w:hAnsi="Arial"/>
          <w:color w:val="2c2c2c"/>
          <w:sz w:val="20"/>
          <w:szCs w:val="20"/>
        </w:rPr>
        <w:t xml:space="preserve">المعالجة الكيميائية-البيولوجية المدمجة</w:t>
      </w:r>
    </w:p>
    <w:p>
      <w:pPr>
        <w:pStyle w:val="ListParagraph"/>
        <w:numPr>
          <w:ilvl w:val="0"/>
          <w:numId w:val="2"/>
        </w:numPr>
        <w:bidi/>
        <w:spacing w:after="40" w:before="40"/>
        <w:jc w:val="right"/>
      </w:pPr>
      <w:r>
        <w:rPr>
          <w:rFonts w:ascii="Arial" w:cs="Arial" w:eastAsia="Arial" w:hAnsi="Arial"/>
          <w:color w:val="2c2c2c"/>
          <w:sz w:val="20"/>
          <w:szCs w:val="20"/>
        </w:rPr>
        <w:t xml:space="preserve">الاقتصاد الدائري لإعادة توظيف المخلفات</w:t>
      </w:r>
    </w:p>
    <w:p>
      <w:pPr>
        <w:spacing w:after="0" w:before="40"/>
      </w:pPr>
      <w:r>
        <w:t xml:space="preserve"/>
      </w:r>
    </w:p>
    <w:p>
      <w:pPr>
        <w:spacing w:after="80" w:before="80"/>
        <w:jc w:val="center"/>
      </w:pPr>
      <w:r>
        <w:t xml:space="preserve">⸻</w:t>
      </w:r>
    </w:p>
    <w:p>
      <w:pPr>
        <w:spacing w:after="0" w:before="140"/>
      </w:pPr>
      <w:r>
        <w:t xml:space="preserve"/>
      </w:r>
    </w:p>
    <w:p>
      <w:pPr>
        <w:pBdr>
          <w:top w:val="single" w:color="b8860b" w:sz="3"/>
          <w:bottom w:val="single" w:color="b8860b" w:sz="3"/>
        </w:pBdr>
        <w:shd w:fill="1a5c38" w:val="clear"/>
        <w:bidi/>
        <w:spacing w:after="0" w:before="0"/>
        <w:ind w:left="360" w:right="360"/>
        <w:jc w:val="right"/>
      </w:pPr>
      <w:r>
        <w:rPr>
          <w:rFonts w:ascii="Arial" w:cs="Arial" w:eastAsia="Arial" w:hAnsi="Arial"/>
          <w:b/>
          <w:bCs/>
          <w:color w:val="FFFFFF"/>
          <w:sz w:val="24"/>
          <w:szCs w:val="24"/>
        </w:rPr>
        <w:t xml:space="preserve">4. وصف الاختراع</w:t>
      </w:r>
    </w:p>
    <w:p>
      <w:pPr>
        <w:spacing w:after="60" w:before="60"/>
      </w:pPr>
      <w:r>
        <w:t xml:space="preserve"/>
      </w:r>
    </w:p>
    <w:p>
      <w:pPr>
        <w:bidi/>
        <w:spacing w:after="60" w:before="60"/>
        <w:jc w:val="right"/>
      </w:pPr>
      <w:r>
        <w:rPr>
          <w:rFonts w:ascii="Arial" w:cs="Arial" w:eastAsia="Arial" w:hAnsi="Arial"/>
          <w:b w:val="false"/>
          <w:bCs w:val="false"/>
          <w:color w:val="2c2c2c"/>
          <w:sz w:val="20"/>
          <w:szCs w:val="20"/>
        </w:rPr>
        <w:t xml:space="preserve">يتكون الاختراع من مزيج رباعي من المخلفات الزراعية السعودية يُنشَّط وفق بروتوكول سداسي المراحل (HSBAP™) ينتهي بتلقيح بيولوجي حيوي:</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pPr>
              <w:bidi/>
              <w:jc w:val="center"/>
            </w:pPr>
            <w:r>
              <w:rPr>
                <w:rFonts w:ascii="Arial" w:cs="Arial" w:eastAsia="Arial" w:hAnsi="Arial"/>
                <w:b/>
                <w:bCs/>
                <w:color w:val="FFFFFF"/>
                <w:sz w:val="19"/>
                <w:szCs w:val="19"/>
              </w:rPr>
              <w:t xml:space="preserve">المكون</w:t>
            </w:r>
          </w:p>
        </w:tc>
        <w:tc>
          <w:tcPr>
            <w:tcW w:type="dxa" w:w="3013"/>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pPr>
              <w:bidi/>
              <w:jc w:val="center"/>
            </w:pPr>
            <w:r>
              <w:rPr>
                <w:rFonts w:ascii="Arial" w:cs="Arial" w:eastAsia="Arial" w:hAnsi="Arial"/>
                <w:b/>
                <w:bCs/>
                <w:color w:val="FFFFFF"/>
                <w:sz w:val="19"/>
                <w:szCs w:val="19"/>
              </w:rPr>
              <w:t xml:space="preserve">النسبة الوزنية</w:t>
            </w:r>
          </w:p>
        </w:tc>
        <w:tc>
          <w:tcPr>
            <w:tcW w:type="dxa" w:w="3013"/>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pPr>
              <w:bidi/>
              <w:jc w:val="center"/>
            </w:pPr>
            <w:r>
              <w:rPr>
                <w:rFonts w:ascii="Arial" w:cs="Arial" w:eastAsia="Arial" w:hAnsi="Arial"/>
                <w:b/>
                <w:bCs/>
                <w:color w:val="FFFFFF"/>
                <w:sz w:val="19"/>
                <w:szCs w:val="19"/>
              </w:rPr>
              <w:t xml:space="preserve">الدور الوظيفي</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جريد النخيل</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center"/>
            </w:pPr>
            <w:r>
              <w:rPr>
                <w:rFonts w:ascii="Arial" w:cs="Arial" w:eastAsia="Arial" w:hAnsi="Arial"/>
                <w:color w:val="2c2c2c"/>
                <w:sz w:val="19"/>
                <w:szCs w:val="19"/>
              </w:rPr>
              <w:t xml:space="preserve">40–50%</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color w:val="2c2c2c"/>
                <w:sz w:val="19"/>
                <w:szCs w:val="19"/>
              </w:rPr>
              <w:t xml:space="preserve">الهيكل الكربوني الأساسي — مسامية عالية</w:t>
            </w:r>
          </w:p>
        </w:tc>
      </w:tr>
      <w:tr>
        <w:tc>
          <w:tcPr>
            <w:tcW w:type="dxa" w:w="300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نوى البلح المحمص</w:t>
            </w:r>
          </w:p>
        </w:tc>
        <w:tc>
          <w:tcPr>
            <w:tcW w:type="dxa" w:w="3013"/>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center"/>
            </w:pPr>
            <w:r>
              <w:rPr>
                <w:rFonts w:ascii="Arial" w:cs="Arial" w:eastAsia="Arial" w:hAnsi="Arial"/>
                <w:color w:val="2c2c2c"/>
                <w:sz w:val="19"/>
                <w:szCs w:val="19"/>
              </w:rPr>
              <w:t xml:space="preserve">20–25%</w:t>
            </w:r>
          </w:p>
        </w:tc>
        <w:tc>
          <w:tcPr>
            <w:tcW w:type="dxa" w:w="3013"/>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right"/>
            </w:pPr>
            <w:r>
              <w:rPr>
                <w:rFonts w:ascii="Arial" w:cs="Arial" w:eastAsia="Arial" w:hAnsi="Arial"/>
                <w:color w:val="2c2c2c"/>
                <w:sz w:val="19"/>
                <w:szCs w:val="19"/>
              </w:rPr>
              <w:t xml:space="preserve">كثافة كربونية عالية + حرارة كامنة</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نوى الزيتون المفحوم</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center"/>
            </w:pPr>
            <w:r>
              <w:rPr>
                <w:rFonts w:ascii="Arial" w:cs="Arial" w:eastAsia="Arial" w:hAnsi="Arial"/>
                <w:color w:val="2c2c2c"/>
                <w:sz w:val="19"/>
                <w:szCs w:val="19"/>
              </w:rPr>
              <w:t xml:space="preserve">15–20%</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color w:val="2c2c2c"/>
                <w:sz w:val="19"/>
                <w:szCs w:val="19"/>
              </w:rPr>
              <w:t xml:space="preserve">مسامية دقيقة فائقة + صلابة هيكلية</w:t>
            </w:r>
          </w:p>
        </w:tc>
      </w:tr>
      <w:tr>
        <w:tc>
          <w:tcPr>
            <w:tcW w:type="dxa" w:w="300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بازلت مطحون</w:t>
            </w:r>
          </w:p>
        </w:tc>
        <w:tc>
          <w:tcPr>
            <w:tcW w:type="dxa" w:w="3013"/>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center"/>
            </w:pPr>
            <w:r>
              <w:rPr>
                <w:rFonts w:ascii="Arial" w:cs="Arial" w:eastAsia="Arial" w:hAnsi="Arial"/>
                <w:color w:val="2c2c2c"/>
                <w:sz w:val="19"/>
                <w:szCs w:val="19"/>
              </w:rPr>
              <w:t xml:space="preserve">5–10%</w:t>
            </w:r>
          </w:p>
        </w:tc>
        <w:tc>
          <w:tcPr>
            <w:tcW w:type="dxa" w:w="3013"/>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right"/>
            </w:pPr>
            <w:r>
              <w:rPr>
                <w:rFonts w:ascii="Arial" w:cs="Arial" w:eastAsia="Arial" w:hAnsi="Arial"/>
                <w:color w:val="2c2c2c"/>
                <w:sz w:val="19"/>
                <w:szCs w:val="19"/>
              </w:rPr>
              <w:t xml:space="preserve">معادن نادرة + تثبيت هيكلي للمسام</w:t>
            </w:r>
          </w:p>
        </w:tc>
      </w:tr>
    </w:tbl>
    <w:p>
      <w:pPr>
        <w:spacing w:after="0" w:before="60"/>
      </w:pPr>
      <w:r>
        <w:t xml:space="preserve"/>
      </w:r>
    </w:p>
    <w:p>
      <w:pPr>
        <w:bidi/>
        <w:spacing w:after="60" w:before="60"/>
        <w:jc w:val="right"/>
      </w:pPr>
      <w:r>
        <w:rPr>
          <w:rFonts w:ascii="Arial" w:cs="Arial" w:eastAsia="Arial" w:hAnsi="Arial"/>
          <w:b/>
          <w:bCs/>
          <w:color w:val="1a5c38"/>
          <w:sz w:val="19"/>
          <w:szCs w:val="19"/>
        </w:rPr>
        <w:t xml:space="preserve">خطوات التصنيع:</w:t>
      </w:r>
    </w:p>
    <w:p>
      <w:pPr>
        <w:spacing w:after="0" w:before="20"/>
      </w:pPr>
      <w:r>
        <w:t xml:space="preserve"/>
      </w:r>
    </w:p>
    <w:p>
      <w:pPr>
        <w:pStyle w:val="ListParagraph"/>
        <w:numPr>
          <w:ilvl w:val="0"/>
          <w:numId w:val="3"/>
        </w:numPr>
        <w:bidi/>
        <w:spacing w:after="40" w:before="40"/>
        <w:jc w:val="right"/>
      </w:pPr>
      <w:r>
        <w:rPr>
          <w:rFonts w:ascii="Arial" w:cs="Arial" w:eastAsia="Arial" w:hAnsi="Arial"/>
          <w:color w:val="2c2c2c"/>
          <w:sz w:val="20"/>
          <w:szCs w:val="20"/>
        </w:rPr>
        <w:t xml:space="preserve">تفحيم المواد في برميل مغلق عند 400-600°م لمدة 90-120 دقيقة بدون أكسجين</w:t>
      </w:r>
    </w:p>
    <w:p>
      <w:pPr>
        <w:pStyle w:val="ListParagraph"/>
        <w:numPr>
          <w:ilvl w:val="0"/>
          <w:numId w:val="3"/>
        </w:numPr>
        <w:bidi/>
        <w:spacing w:after="40" w:before="40"/>
        <w:jc w:val="right"/>
      </w:pPr>
      <w:r>
        <w:rPr>
          <w:rFonts w:ascii="Arial" w:cs="Arial" w:eastAsia="Arial" w:hAnsi="Arial"/>
          <w:color w:val="2c2c2c"/>
          <w:sz w:val="20"/>
          <w:szCs w:val="20"/>
        </w:rPr>
        <w:t xml:space="preserve">تنظيف الفحم بحمض الستريك لفتح المسام وإزالة الشوائب</w:t>
      </w:r>
    </w:p>
    <w:p>
      <w:pPr>
        <w:pStyle w:val="ListParagraph"/>
        <w:numPr>
          <w:ilvl w:val="0"/>
          <w:numId w:val="3"/>
        </w:numPr>
        <w:bidi/>
        <w:spacing w:after="40" w:before="40"/>
        <w:jc w:val="right"/>
      </w:pPr>
      <w:r>
        <w:rPr>
          <w:rFonts w:ascii="Arial" w:cs="Arial" w:eastAsia="Arial" w:hAnsi="Arial"/>
          <w:color w:val="2c2c2c"/>
          <w:sz w:val="20"/>
          <w:szCs w:val="20"/>
        </w:rPr>
        <w:t xml:space="preserve">غمر في ZnCl₂ بنسبة 1.5× لمدة 12-16 ساعة</w:t>
      </w:r>
    </w:p>
    <w:p>
      <w:pPr>
        <w:pStyle w:val="ListParagraph"/>
        <w:numPr>
          <w:ilvl w:val="0"/>
          <w:numId w:val="3"/>
        </w:numPr>
        <w:bidi/>
        <w:spacing w:after="40" w:before="40"/>
        <w:jc w:val="right"/>
      </w:pPr>
      <w:r>
        <w:rPr>
          <w:rFonts w:ascii="Arial" w:cs="Arial" w:eastAsia="Arial" w:hAnsi="Arial"/>
          <w:color w:val="2c2c2c"/>
          <w:sz w:val="20"/>
          <w:szCs w:val="20"/>
        </w:rPr>
        <w:t xml:space="preserve">تكليس في برميل مغلق مع 10% ماء للبخار الذاتي عند 500-550°م</w:t>
      </w:r>
    </w:p>
    <w:p>
      <w:pPr>
        <w:pStyle w:val="ListParagraph"/>
        <w:numPr>
          <w:ilvl w:val="0"/>
          <w:numId w:val="3"/>
        </w:numPr>
        <w:bidi/>
        <w:spacing w:after="40" w:before="40"/>
        <w:jc w:val="right"/>
      </w:pPr>
      <w:r>
        <w:rPr>
          <w:rFonts w:ascii="Arial" w:cs="Arial" w:eastAsia="Arial" w:hAnsi="Arial"/>
          <w:color w:val="2c2c2c"/>
          <w:sz w:val="20"/>
          <w:szCs w:val="20"/>
        </w:rPr>
        <w:t xml:space="preserve">غسيل بالماء حتى التخلص من الزنك الزائد</w:t>
      </w:r>
    </w:p>
    <w:p>
      <w:pPr>
        <w:pStyle w:val="ListParagraph"/>
        <w:numPr>
          <w:ilvl w:val="0"/>
          <w:numId w:val="3"/>
        </w:numPr>
        <w:bidi/>
        <w:spacing w:after="40" w:before="40"/>
        <w:jc w:val="right"/>
      </w:pPr>
      <w:r>
        <w:rPr>
          <w:rFonts w:ascii="Arial" w:cs="Arial" w:eastAsia="Arial" w:hAnsi="Arial"/>
          <w:color w:val="2c2c2c"/>
          <w:sz w:val="20"/>
          <w:szCs w:val="20"/>
        </w:rPr>
        <w:t xml:space="preserve">تلقيح بـ Bacillus subtilis وتجفيف</w:t>
      </w:r>
    </w:p>
    <w:p>
      <w:pPr>
        <w:spacing w:after="0" w:before="40"/>
      </w:pPr>
      <w:r>
        <w:t xml:space="preserve"/>
      </w:r>
    </w:p>
    <w:p>
      <w:pPr>
        <w:spacing w:after="80" w:before="80"/>
        <w:jc w:val="center"/>
      </w:pPr>
      <w:r>
        <w:t xml:space="preserve">⸻</w:t>
      </w:r>
    </w:p>
    <w:p>
      <w:pPr>
        <w:spacing w:after="0" w:before="140"/>
      </w:pPr>
      <w:r>
        <w:t xml:space="preserve"/>
      </w:r>
    </w:p>
    <w:p>
      <w:pPr>
        <w:pBdr>
          <w:top w:val="single" w:color="b8860b" w:sz="3"/>
          <w:bottom w:val="single" w:color="b8860b" w:sz="3"/>
        </w:pBdr>
        <w:shd w:fill="1a5c38" w:val="clear"/>
        <w:bidi/>
        <w:spacing w:after="0" w:before="0"/>
        <w:ind w:left="360" w:right="360"/>
        <w:jc w:val="right"/>
      </w:pPr>
      <w:r>
        <w:rPr>
          <w:rFonts w:ascii="Arial" w:cs="Arial" w:eastAsia="Arial" w:hAnsi="Arial"/>
          <w:b/>
          <w:bCs/>
          <w:color w:val="FFFFFF"/>
          <w:sz w:val="24"/>
          <w:szCs w:val="24"/>
        </w:rPr>
        <w:t xml:space="preserve">5. الشكل الهندسي والتشابك</w:t>
      </w:r>
    </w:p>
    <w:p>
      <w:pPr>
        <w:spacing w:after="60" w:before="60"/>
      </w:pPr>
      <w:r>
        <w:t xml:space="preserve"/>
      </w:r>
    </w:p>
    <w:p>
      <w:pPr>
        <w:bidi/>
        <w:spacing w:after="60" w:before="60"/>
        <w:jc w:val="right"/>
      </w:pPr>
      <w:r>
        <w:rPr>
          <w:rFonts w:ascii="Arial" w:cs="Arial" w:eastAsia="Arial" w:hAnsi="Arial"/>
          <w:b w:val="false"/>
          <w:bCs w:val="false"/>
          <w:color w:val="2c2c2c"/>
          <w:sz w:val="20"/>
          <w:szCs w:val="20"/>
        </w:rPr>
        <w:t xml:space="preserve">الكربون الناتج عبارة عن حبيبات مسامية دقيقة يتراوح قطرها بين 0.5-3 مم، تحتوي مسامها الدقيقة على مستعمرات Bacillus subtilis النشطة التي تحلل الملوثات العضوية بيولوجياً بعد امتصاصها كيميائياً. الشكل الهيكلي للمسام يضمن تدفق الماء والهواء مع الاحتفاظ بالبكتيريا داخلها.</w:t>
      </w:r>
    </w:p>
    <w:p>
      <w:pPr>
        <w:spacing w:after="0" w:before="40"/>
      </w:pPr>
      <w:r>
        <w:t xml:space="preserve"/>
      </w:r>
    </w:p>
    <w:p>
      <w:pPr>
        <w:spacing w:after="80" w:before="80"/>
        <w:jc w:val="center"/>
      </w:pPr>
      <w:r>
        <w:t xml:space="preserve">⸻</w:t>
      </w:r>
    </w:p>
    <w:p>
      <w:pPr>
        <w:spacing w:after="0" w:before="140"/>
      </w:pPr>
      <w:r>
        <w:t xml:space="preserve"/>
      </w:r>
    </w:p>
    <w:p>
      <w:pPr>
        <w:pBdr>
          <w:top w:val="single" w:color="b8860b" w:sz="3"/>
          <w:bottom w:val="single" w:color="b8860b" w:sz="3"/>
        </w:pBdr>
        <w:shd w:fill="1a5c38" w:val="clear"/>
        <w:bidi/>
        <w:spacing w:after="0" w:before="0"/>
        <w:ind w:left="360" w:right="360"/>
        <w:jc w:val="right"/>
      </w:pPr>
      <w:r>
        <w:rPr>
          <w:rFonts w:ascii="Arial" w:cs="Arial" w:eastAsia="Arial" w:hAnsi="Arial"/>
          <w:b/>
          <w:bCs/>
          <w:color w:val="FFFFFF"/>
          <w:sz w:val="24"/>
          <w:szCs w:val="24"/>
        </w:rPr>
        <w:t xml:space="preserve">6. الخصائص الفنية المتوقعة</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pPr>
              <w:bidi/>
              <w:jc w:val="center"/>
            </w:pPr>
            <w:r>
              <w:rPr>
                <w:rFonts w:ascii="Arial" w:cs="Arial" w:eastAsia="Arial" w:hAnsi="Arial"/>
                <w:b/>
                <w:bCs/>
                <w:color w:val="FFFFFF"/>
                <w:sz w:val="19"/>
                <w:szCs w:val="19"/>
              </w:rPr>
              <w:t xml:space="preserve">الخاصية</w:t>
            </w:r>
          </w:p>
        </w:tc>
        <w:tc>
          <w:tcPr>
            <w:tcW w:type="dxa" w:w="4513"/>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pPr>
              <w:bidi/>
              <w:jc w:val="center"/>
            </w:pPr>
            <w:r>
              <w:rPr>
                <w:rFonts w:ascii="Arial" w:cs="Arial" w:eastAsia="Arial" w:hAnsi="Arial"/>
                <w:b/>
                <w:bCs/>
                <w:color w:val="FFFFFF"/>
                <w:sz w:val="19"/>
                <w:szCs w:val="19"/>
              </w:rPr>
              <w:t xml:space="preserve">القيمة التقديرية</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رقم اليود (Iodine Number)</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center"/>
            </w:pPr>
            <w:r>
              <w:rPr>
                <w:rFonts w:ascii="Arial" w:cs="Arial" w:eastAsia="Arial" w:hAnsi="Arial"/>
                <w:color w:val="2c2c2c"/>
                <w:sz w:val="19"/>
                <w:szCs w:val="19"/>
              </w:rPr>
              <w:t xml:space="preserve">900+ ملغ/غ — درجة AAA+</w:t>
            </w:r>
          </w:p>
        </w:tc>
      </w:tr>
      <w:tr>
        <w:tc>
          <w:tcPr>
            <w:tcW w:type="dxa" w:w="4513"/>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مساحة السطح النوعية</w:t>
            </w:r>
          </w:p>
        </w:tc>
        <w:tc>
          <w:tcPr>
            <w:tcW w:type="dxa" w:w="4513"/>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center"/>
            </w:pPr>
            <w:r>
              <w:rPr>
                <w:rFonts w:ascii="Arial" w:cs="Arial" w:eastAsia="Arial" w:hAnsi="Arial"/>
                <w:color w:val="2c2c2c"/>
                <w:sz w:val="19"/>
                <w:szCs w:val="19"/>
              </w:rPr>
              <w:t xml:space="preserve">800-1200 م²/غ</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حجم المسام</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center"/>
            </w:pPr>
            <w:r>
              <w:rPr>
                <w:rFonts w:ascii="Arial" w:cs="Arial" w:eastAsia="Arial" w:hAnsi="Arial"/>
                <w:color w:val="2c2c2c"/>
                <w:sz w:val="19"/>
                <w:szCs w:val="19"/>
              </w:rPr>
              <w:t xml:space="preserve">ميكروبوري + ميزوبوري</w:t>
            </w:r>
          </w:p>
        </w:tc>
      </w:tr>
      <w:tr>
        <w:tc>
          <w:tcPr>
            <w:tcW w:type="dxa" w:w="4513"/>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نسبة الكربون</w:t>
            </w:r>
          </w:p>
        </w:tc>
        <w:tc>
          <w:tcPr>
            <w:tcW w:type="dxa" w:w="4513"/>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center"/>
            </w:pPr>
            <w:r>
              <w:rPr>
                <w:rFonts w:ascii="Arial" w:cs="Arial" w:eastAsia="Arial" w:hAnsi="Arial"/>
                <w:color w:val="2c2c2c"/>
                <w:sz w:val="19"/>
                <w:szCs w:val="19"/>
              </w:rPr>
              <w:t xml:space="preserve">75-85%</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الغلة من المواد الخام</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jc w:val="center"/>
            </w:pPr>
            <w:r>
              <w:rPr>
                <w:rFonts w:ascii="Arial" w:cs="Arial" w:eastAsia="Arial" w:hAnsi="Arial"/>
                <w:color w:val="2c2c2c"/>
                <w:sz w:val="19"/>
                <w:szCs w:val="19"/>
              </w:rPr>
              <w:t xml:space="preserve">30-40%</w:t>
            </w:r>
          </w:p>
        </w:tc>
      </w:tr>
      <w:tr>
        <w:tc>
          <w:tcPr>
            <w:tcW w:type="dxa" w:w="4513"/>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right"/>
            </w:pPr>
            <w:r>
              <w:rPr>
                <w:rFonts w:ascii="Arial" w:cs="Arial" w:eastAsia="Arial" w:hAnsi="Arial"/>
                <w:b/>
                <w:bCs/>
                <w:color w:val="1a5c38"/>
                <w:sz w:val="19"/>
                <w:szCs w:val="19"/>
              </w:rPr>
              <w:t xml:space="preserve">البصمة الكربونية</w:t>
            </w:r>
          </w:p>
        </w:tc>
        <w:tc>
          <w:tcPr>
            <w:tcW w:type="dxa" w:w="4513"/>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pPr>
              <w:bidi/>
              <w:jc w:val="center"/>
            </w:pPr>
            <w:r>
              <w:rPr>
                <w:rFonts w:ascii="Arial" w:cs="Arial" w:eastAsia="Arial" w:hAnsi="Arial"/>
                <w:color w:val="2c2c2c"/>
                <w:sz w:val="19"/>
                <w:szCs w:val="19"/>
              </w:rPr>
              <w:t xml:space="preserve">سالبة — تمتص CO₂</w:t>
            </w:r>
          </w:p>
        </w:tc>
      </w:tr>
    </w:tbl>
    <w:p>
      <w:pPr>
        <w:spacing w:after="0" w:before="40"/>
      </w:pPr>
      <w:r>
        <w:t xml:space="preserve"/>
      </w:r>
    </w:p>
    <w:p>
      <w:pPr>
        <w:spacing w:after="80" w:before="80"/>
        <w:jc w:val="center"/>
      </w:pPr>
      <w:r>
        <w:t xml:space="preserve">⸻</w:t>
      </w:r>
    </w:p>
    <w:p>
      <w:pPr>
        <w:spacing w:after="0" w:before="140"/>
      </w:pPr>
      <w:r>
        <w:t xml:space="preserve"/>
      </w:r>
    </w:p>
    <w:p>
      <w:pPr>
        <w:pBdr>
          <w:top w:val="single" w:color="b8860b" w:sz="3"/>
          <w:bottom w:val="single" w:color="b8860b" w:sz="3"/>
        </w:pBdr>
        <w:shd w:fill="1a5c38" w:val="clear"/>
        <w:bidi/>
        <w:spacing w:after="0" w:before="0"/>
        <w:ind w:left="360" w:right="360"/>
        <w:jc w:val="right"/>
      </w:pPr>
      <w:r>
        <w:rPr>
          <w:rFonts w:ascii="Arial" w:cs="Arial" w:eastAsia="Arial" w:hAnsi="Arial"/>
          <w:b/>
          <w:bCs/>
          <w:color w:val="FFFFFF"/>
          <w:sz w:val="24"/>
          <w:szCs w:val="24"/>
        </w:rPr>
        <w:t xml:space="preserve">7. الجدة والابتكار</w:t>
      </w:r>
    </w:p>
    <w:p>
      <w:pPr>
        <w:spacing w:after="60" w:before="60"/>
      </w:pPr>
      <w:r>
        <w:t xml:space="preserve"/>
      </w:r>
    </w:p>
    <w:p>
      <w:pPr>
        <w:bidi/>
        <w:spacing w:after="60" w:before="60"/>
        <w:jc w:val="right"/>
      </w:pPr>
      <w:r>
        <w:rPr>
          <w:rFonts w:ascii="Arial" w:cs="Arial" w:eastAsia="Arial" w:hAnsi="Arial"/>
          <w:b w:val="false"/>
          <w:bCs w:val="false"/>
          <w:color w:val="2c2c2c"/>
          <w:sz w:val="20"/>
          <w:szCs w:val="20"/>
        </w:rPr>
        <w:t xml:space="preserve">تكمن الجدة في:</w:t>
      </w:r>
    </w:p>
    <w:p>
      <w:pPr>
        <w:pStyle w:val="ListParagraph"/>
        <w:numPr>
          <w:ilvl w:val="0"/>
          <w:numId w:val="2"/>
        </w:numPr>
        <w:bidi/>
        <w:spacing w:after="40" w:before="40"/>
        <w:jc w:val="right"/>
      </w:pPr>
      <w:r>
        <w:rPr>
          <w:rFonts w:ascii="Arial" w:cs="Arial" w:eastAsia="Arial" w:hAnsi="Arial"/>
          <w:color w:val="2c2c2c"/>
          <w:sz w:val="20"/>
          <w:szCs w:val="20"/>
        </w:rPr>
        <w:t xml:space="preserve">أول كربون نشط مُلقَّح بـ Bacillus subtilis بعد التنشيط الكيميائي — تنقية مزدوجة غير مسبوقة</w:t>
      </w:r>
    </w:p>
    <w:p>
      <w:pPr>
        <w:pStyle w:val="ListParagraph"/>
        <w:numPr>
          <w:ilvl w:val="0"/>
          <w:numId w:val="2"/>
        </w:numPr>
        <w:bidi/>
        <w:spacing w:after="40" w:before="40"/>
        <w:jc w:val="right"/>
      </w:pPr>
      <w:r>
        <w:rPr>
          <w:rFonts w:ascii="Arial" w:cs="Arial" w:eastAsia="Arial" w:hAnsi="Arial"/>
          <w:color w:val="2c2c2c"/>
          <w:sz w:val="20"/>
          <w:szCs w:val="20"/>
        </w:rPr>
        <w:t xml:space="preserve">مزيج رباعي من المخلفات السعودية لم يُسجَّل في أي براءة عالمية</w:t>
      </w:r>
    </w:p>
    <w:p>
      <w:pPr>
        <w:pStyle w:val="ListParagraph"/>
        <w:numPr>
          <w:ilvl w:val="0"/>
          <w:numId w:val="2"/>
        </w:numPr>
        <w:bidi/>
        <w:spacing w:after="40" w:before="40"/>
        <w:jc w:val="right"/>
      </w:pPr>
      <w:r>
        <w:rPr>
          <w:rFonts w:ascii="Arial" w:cs="Arial" w:eastAsia="Arial" w:hAnsi="Arial"/>
          <w:color w:val="2c2c2c"/>
          <w:sz w:val="20"/>
          <w:szCs w:val="20"/>
        </w:rPr>
        <w:t xml:space="preserve">تقنية البخار الذاتي (10% ماء في البرميل) تحسن الجودة 10-15% دون تكلفة إضافية</w:t>
      </w:r>
    </w:p>
    <w:p>
      <w:pPr>
        <w:pStyle w:val="ListParagraph"/>
        <w:numPr>
          <w:ilvl w:val="0"/>
          <w:numId w:val="2"/>
        </w:numPr>
        <w:bidi/>
        <w:spacing w:after="40" w:before="40"/>
        <w:jc w:val="right"/>
      </w:pPr>
      <w:r>
        <w:rPr>
          <w:rFonts w:ascii="Arial" w:cs="Arial" w:eastAsia="Arial" w:hAnsi="Arial"/>
          <w:color w:val="2c2c2c"/>
          <w:sz w:val="20"/>
          <w:szCs w:val="20"/>
        </w:rPr>
        <w:t xml:space="preserve">إنتاج سعودي 100% من مواد خام مجانية</w:t>
      </w:r>
    </w:p>
    <w:p>
      <w:pPr>
        <w:spacing w:after="0" w:before="40"/>
      </w:pPr>
      <w:r>
        <w:t xml:space="preserve"/>
      </w:r>
    </w:p>
    <w:p>
      <w:pPr>
        <w:spacing w:after="80" w:before="80"/>
        <w:jc w:val="center"/>
      </w:pPr>
      <w:r>
        <w:t xml:space="preserve">⸻</w:t>
      </w:r>
    </w:p>
    <w:p>
      <w:pPr>
        <w:spacing w:after="0" w:before="140"/>
      </w:pPr>
      <w:r>
        <w:t xml:space="preserve"/>
      </w:r>
    </w:p>
    <w:p>
      <w:pPr>
        <w:pBdr>
          <w:top w:val="single" w:color="b8860b" w:sz="3"/>
          <w:bottom w:val="single" w:color="b8860b" w:sz="3"/>
        </w:pBdr>
        <w:shd w:fill="1a5c38" w:val="clear"/>
        <w:bidi/>
        <w:spacing w:after="0" w:before="0"/>
        <w:ind w:left="360" w:right="360"/>
        <w:jc w:val="right"/>
      </w:pPr>
      <w:r>
        <w:rPr>
          <w:rFonts w:ascii="Arial" w:cs="Arial" w:eastAsia="Arial" w:hAnsi="Arial"/>
          <w:b/>
          <w:bCs/>
          <w:color w:val="FFFFFF"/>
          <w:sz w:val="24"/>
          <w:szCs w:val="24"/>
        </w:rPr>
        <w:t xml:space="preserve">8. المطالبات القانونية — Claims</w:t>
      </w:r>
    </w:p>
    <w:p>
      <w:pPr>
        <w:spacing w:after="60" w:before="60"/>
      </w:pPr>
      <w:r>
        <w:t xml:space="preserve"/>
      </w:r>
    </w:p>
    <w:p>
      <w:pPr>
        <w:pBdr>
          <w:right w:val="single" w:color="b8860b" w:sz="14" w:space="0"/>
        </w:pBdr>
        <w:shd w:fill="fdf6e3" w:val="clear"/>
        <w:bidi/>
        <w:spacing w:after="60" w:before="0"/>
        <w:ind w:right="200"/>
        <w:jc w:val="right"/>
      </w:pPr>
      <w:r>
        <w:rPr>
          <w:rFonts w:ascii="Arial" w:cs="Arial" w:eastAsia="Arial" w:hAnsi="Arial"/>
          <w:b/>
          <w:bCs/>
          <w:color w:val="b8860b"/>
          <w:sz w:val="19"/>
          <w:szCs w:val="19"/>
        </w:rPr>
        <w:t xml:space="preserve">المطالبات هي الحماية القانونية الفعلية للاختراع</w:t>
      </w:r>
    </w:p>
    <w:p>
      <w:pPr>
        <w:spacing w:after="0" w:before="40"/>
      </w:pPr>
      <w:r>
        <w:t xml:space="preserve"/>
      </w:r>
    </w:p>
    <w:p>
      <w:pPr>
        <w:spacing w:after="0" w:before="80"/>
      </w:pPr>
      <w:r>
        <w:t xml:space="preserve"/>
      </w:r>
    </w:p>
    <w:p>
      <w:pPr>
        <w:pBdr>
          <w:right w:val="single" w:color="b8860b" w:sz="16" w:space="0"/>
        </w:pBdr>
        <w:bidi/>
        <w:spacing w:after="40" w:before="0"/>
        <w:ind w:right="200"/>
        <w:jc w:val="right"/>
      </w:pPr>
      <w:r>
        <w:rPr>
          <w:rFonts w:ascii="Arial" w:cs="Arial" w:eastAsia="Arial" w:hAnsi="Arial"/>
          <w:b/>
          <w:bCs/>
          <w:color w:val="1a5c38"/>
          <w:sz w:val="20"/>
          <w:szCs w:val="20"/>
        </w:rPr>
        <w:t xml:space="preserve">المطالبة 1</w:t>
      </w:r>
    </w:p>
    <w:p>
      <w:pPr>
        <w:bidi/>
        <w:spacing w:after="60" w:before="60"/>
        <w:jc w:val="right"/>
      </w:pPr>
      <w:r>
        <w:rPr>
          <w:rFonts w:ascii="Arial" w:cs="Arial" w:eastAsia="Arial" w:hAnsi="Arial"/>
          <w:b w:val="false"/>
          <w:bCs w:val="false"/>
          <w:color w:val="2c2c2c"/>
          <w:sz w:val="20"/>
          <w:szCs w:val="20"/>
        </w:rPr>
        <w:t xml:space="preserve">كربون نشط منتج من مزيج يضم جريد النخيل ونوى البلح ونوى الزيتون والبازلت المطحون، وفق بروتوكول تنشيط كيميائي-بيولوجي سداسي المراحل يُعرف بـ HSBAP™، بدون أفران تقليدية.</w:t>
      </w:r>
    </w:p>
    <w:p>
      <w:pPr>
        <w:spacing w:after="0" w:before="40"/>
        <w:jc w:val="center"/>
      </w:pPr>
      <w:r>
        <w:rPr>
          <w:rFonts w:ascii="Arial" w:cs="Arial" w:eastAsia="Arial" w:hAnsi="Arial"/>
          <w:color w:val="CCCCCC"/>
          <w:sz w:val="16"/>
          <w:szCs w:val="16"/>
        </w:rPr>
        <w:t xml:space="preserve">⸻</w:t>
      </w:r>
    </w:p>
    <w:p>
      <w:pPr>
        <w:spacing w:after="0" w:before="80"/>
      </w:pPr>
      <w:r>
        <w:t xml:space="preserve"/>
      </w:r>
    </w:p>
    <w:p>
      <w:pPr>
        <w:pBdr>
          <w:right w:val="single" w:color="b8860b" w:sz="16" w:space="0"/>
        </w:pBdr>
        <w:bidi/>
        <w:spacing w:after="40" w:before="0"/>
        <w:ind w:right="200"/>
        <w:jc w:val="right"/>
      </w:pPr>
      <w:r>
        <w:rPr>
          <w:rFonts w:ascii="Arial" w:cs="Arial" w:eastAsia="Arial" w:hAnsi="Arial"/>
          <w:b/>
          <w:bCs/>
          <w:color w:val="1a5c38"/>
          <w:sz w:val="20"/>
          <w:szCs w:val="20"/>
        </w:rPr>
        <w:t xml:space="preserve">المطالبة 2</w:t>
      </w:r>
    </w:p>
    <w:p>
      <w:pPr>
        <w:bidi/>
        <w:spacing w:after="60" w:before="60"/>
        <w:jc w:val="right"/>
      </w:pPr>
      <w:r>
        <w:rPr>
          <w:rFonts w:ascii="Arial" w:cs="Arial" w:eastAsia="Arial" w:hAnsi="Arial"/>
          <w:b w:val="false"/>
          <w:bCs w:val="false"/>
          <w:color w:val="2c2c2c"/>
          <w:sz w:val="20"/>
          <w:szCs w:val="20"/>
        </w:rPr>
        <w:t xml:space="preserve">الكربون النشط وفق المطالبة (1)، حيث تبلغ نسبة جريد النخيل ما بين 40% و50% من وزن المزيج الخام قبل التفحيم.</w:t>
      </w:r>
    </w:p>
    <w:p>
      <w:pPr>
        <w:spacing w:after="0" w:before="40"/>
        <w:jc w:val="center"/>
      </w:pPr>
      <w:r>
        <w:rPr>
          <w:rFonts w:ascii="Arial" w:cs="Arial" w:eastAsia="Arial" w:hAnsi="Arial"/>
          <w:color w:val="CCCCCC"/>
          <w:sz w:val="16"/>
          <w:szCs w:val="16"/>
        </w:rPr>
        <w:t xml:space="preserve">⸻</w:t>
      </w:r>
    </w:p>
    <w:p>
      <w:pPr>
        <w:spacing w:after="0" w:before="80"/>
      </w:pPr>
      <w:r>
        <w:t xml:space="preserve"/>
      </w:r>
    </w:p>
    <w:p>
      <w:pPr>
        <w:pBdr>
          <w:right w:val="single" w:color="b8860b" w:sz="16" w:space="0"/>
        </w:pBdr>
        <w:bidi/>
        <w:spacing w:after="40" w:before="0"/>
        <w:ind w:right="200"/>
        <w:jc w:val="right"/>
      </w:pPr>
      <w:r>
        <w:rPr>
          <w:rFonts w:ascii="Arial" w:cs="Arial" w:eastAsia="Arial" w:hAnsi="Arial"/>
          <w:b/>
          <w:bCs/>
          <w:color w:val="1a5c38"/>
          <w:sz w:val="20"/>
          <w:szCs w:val="20"/>
        </w:rPr>
        <w:t xml:space="preserve">المطالبة 3</w:t>
      </w:r>
    </w:p>
    <w:p>
      <w:pPr>
        <w:bidi/>
        <w:spacing w:after="60" w:before="60"/>
        <w:jc w:val="right"/>
      </w:pPr>
      <w:r>
        <w:rPr>
          <w:rFonts w:ascii="Arial" w:cs="Arial" w:eastAsia="Arial" w:hAnsi="Arial"/>
          <w:b w:val="false"/>
          <w:bCs w:val="false"/>
          <w:color w:val="2c2c2c"/>
          <w:sz w:val="20"/>
          <w:szCs w:val="20"/>
        </w:rPr>
        <w:t xml:space="preserve">الكربون النشط وفق المطالبة (1)، حيث يُجرى التفحيم في برميل مغلق عند 400-600°م لمدة 90-120 دقيقة بدون أكسجين.</w:t>
      </w:r>
    </w:p>
    <w:p>
      <w:pPr>
        <w:spacing w:after="0" w:before="40"/>
        <w:jc w:val="center"/>
      </w:pPr>
      <w:r>
        <w:rPr>
          <w:rFonts w:ascii="Arial" w:cs="Arial" w:eastAsia="Arial" w:hAnsi="Arial"/>
          <w:color w:val="CCCCCC"/>
          <w:sz w:val="16"/>
          <w:szCs w:val="16"/>
        </w:rPr>
        <w:t xml:space="preserve">⸻</w:t>
      </w:r>
    </w:p>
    <w:p>
      <w:pPr>
        <w:spacing w:after="0" w:before="80"/>
      </w:pPr>
      <w:r>
        <w:t xml:space="preserve"/>
      </w:r>
    </w:p>
    <w:p>
      <w:pPr>
        <w:pBdr>
          <w:right w:val="single" w:color="b8860b" w:sz="16" w:space="0"/>
        </w:pBdr>
        <w:bidi/>
        <w:spacing w:after="40" w:before="0"/>
        <w:ind w:right="200"/>
        <w:jc w:val="right"/>
      </w:pPr>
      <w:r>
        <w:rPr>
          <w:rFonts w:ascii="Arial" w:cs="Arial" w:eastAsia="Arial" w:hAnsi="Arial"/>
          <w:b/>
          <w:bCs/>
          <w:color w:val="1a5c38"/>
          <w:sz w:val="20"/>
          <w:szCs w:val="20"/>
        </w:rPr>
        <w:t xml:space="preserve">المطالبة 4</w:t>
      </w:r>
    </w:p>
    <w:p>
      <w:pPr>
        <w:bidi/>
        <w:spacing w:after="60" w:before="60"/>
        <w:jc w:val="right"/>
      </w:pPr>
      <w:r>
        <w:rPr>
          <w:rFonts w:ascii="Arial" w:cs="Arial" w:eastAsia="Arial" w:hAnsi="Arial"/>
          <w:b w:val="false"/>
          <w:bCs w:val="false"/>
          <w:color w:val="2c2c2c"/>
          <w:sz w:val="20"/>
          <w:szCs w:val="20"/>
        </w:rPr>
        <w:t xml:space="preserve">الكربون النشط وفق المطالبة (1)، حيث يُستخدم ZnCl₂ بنسبة 1.5× مع إضافة 10% ماء لتوليد البخار الذاتي خلال مرحلة التنشيط.</w:t>
      </w:r>
    </w:p>
    <w:p>
      <w:pPr>
        <w:spacing w:after="0" w:before="40"/>
        <w:jc w:val="center"/>
      </w:pPr>
      <w:r>
        <w:rPr>
          <w:rFonts w:ascii="Arial" w:cs="Arial" w:eastAsia="Arial" w:hAnsi="Arial"/>
          <w:color w:val="CCCCCC"/>
          <w:sz w:val="16"/>
          <w:szCs w:val="16"/>
        </w:rPr>
        <w:t xml:space="preserve">⸻</w:t>
      </w:r>
    </w:p>
    <w:p>
      <w:pPr>
        <w:spacing w:after="0" w:before="80"/>
      </w:pPr>
      <w:r>
        <w:t xml:space="preserve"/>
      </w:r>
    </w:p>
    <w:p>
      <w:pPr>
        <w:pBdr>
          <w:right w:val="single" w:color="b8860b" w:sz="16" w:space="0"/>
        </w:pBdr>
        <w:bidi/>
        <w:spacing w:after="40" w:before="0"/>
        <w:ind w:right="200"/>
        <w:jc w:val="right"/>
      </w:pPr>
      <w:r>
        <w:rPr>
          <w:rFonts w:ascii="Arial" w:cs="Arial" w:eastAsia="Arial" w:hAnsi="Arial"/>
          <w:b/>
          <w:bCs/>
          <w:color w:val="1a5c38"/>
          <w:sz w:val="20"/>
          <w:szCs w:val="20"/>
        </w:rPr>
        <w:t xml:space="preserve">المطالبة 5</w:t>
      </w:r>
    </w:p>
    <w:p>
      <w:pPr>
        <w:bidi/>
        <w:spacing w:after="60" w:before="60"/>
        <w:jc w:val="right"/>
      </w:pPr>
      <w:r>
        <w:rPr>
          <w:rFonts w:ascii="Arial" w:cs="Arial" w:eastAsia="Arial" w:hAnsi="Arial"/>
          <w:b w:val="false"/>
          <w:bCs w:val="false"/>
          <w:color w:val="2c2c2c"/>
          <w:sz w:val="20"/>
          <w:szCs w:val="20"/>
        </w:rPr>
        <w:t xml:space="preserve">الكربون النشط وفق المطالبة (1)، حيث يُلقَّح بـ Bacillus subtilis بعد التنشيط الكيميائي لتكوين كربون نشط حي ذي قدرة تحليل بيولوجي مستمر.</w:t>
      </w:r>
    </w:p>
    <w:p>
      <w:pPr>
        <w:spacing w:after="0" w:before="40"/>
        <w:jc w:val="center"/>
      </w:pPr>
      <w:r>
        <w:rPr>
          <w:rFonts w:ascii="Arial" w:cs="Arial" w:eastAsia="Arial" w:hAnsi="Arial"/>
          <w:color w:val="CCCCCC"/>
          <w:sz w:val="16"/>
          <w:szCs w:val="16"/>
        </w:rPr>
        <w:t xml:space="preserve">⸻</w:t>
      </w:r>
    </w:p>
    <w:p>
      <w:pPr>
        <w:spacing w:after="0" w:before="80"/>
      </w:pPr>
      <w:r>
        <w:t xml:space="preserve"/>
      </w:r>
    </w:p>
    <w:p>
      <w:pPr>
        <w:pBdr>
          <w:right w:val="single" w:color="b8860b" w:sz="16" w:space="0"/>
        </w:pBdr>
        <w:bidi/>
        <w:spacing w:after="40" w:before="0"/>
        <w:ind w:right="200"/>
        <w:jc w:val="right"/>
      </w:pPr>
      <w:r>
        <w:rPr>
          <w:rFonts w:ascii="Arial" w:cs="Arial" w:eastAsia="Arial" w:hAnsi="Arial"/>
          <w:b/>
          <w:bCs/>
          <w:color w:val="1a5c38"/>
          <w:sz w:val="20"/>
          <w:szCs w:val="20"/>
        </w:rPr>
        <w:t xml:space="preserve">المطالبة 6</w:t>
      </w:r>
    </w:p>
    <w:p>
      <w:pPr>
        <w:bidi/>
        <w:spacing w:after="60" w:before="60"/>
        <w:jc w:val="right"/>
      </w:pPr>
      <w:r>
        <w:rPr>
          <w:rFonts w:ascii="Arial" w:cs="Arial" w:eastAsia="Arial" w:hAnsi="Arial"/>
          <w:b w:val="false"/>
          <w:bCs w:val="false"/>
          <w:color w:val="2c2c2c"/>
          <w:sz w:val="20"/>
          <w:szCs w:val="20"/>
        </w:rPr>
        <w:t xml:space="preserve">الكربون النشط وفق المطالبة (1)، يتميز برقم يود لا يقل عن 900 ملغ/غ وفق معيار AWWA.</w:t>
      </w:r>
    </w:p>
    <w:p>
      <w:pPr>
        <w:spacing w:after="0" w:before="40"/>
        <w:jc w:val="center"/>
      </w:pPr>
      <w:r>
        <w:rPr>
          <w:rFonts w:ascii="Arial" w:cs="Arial" w:eastAsia="Arial" w:hAnsi="Arial"/>
          <w:color w:val="CCCCCC"/>
          <w:sz w:val="16"/>
          <w:szCs w:val="16"/>
        </w:rPr>
        <w:t xml:space="preserve">⸻</w:t>
      </w:r>
    </w:p>
    <w:p>
      <w:pPr>
        <w:spacing w:after="0" w:before="80"/>
      </w:pPr>
      <w:r>
        <w:t xml:space="preserve"/>
      </w:r>
    </w:p>
    <w:p>
      <w:pPr>
        <w:pBdr>
          <w:right w:val="single" w:color="b8860b" w:sz="16" w:space="0"/>
        </w:pBdr>
        <w:bidi/>
        <w:spacing w:after="40" w:before="0"/>
        <w:ind w:right="200"/>
        <w:jc w:val="right"/>
      </w:pPr>
      <w:r>
        <w:rPr>
          <w:rFonts w:ascii="Arial" w:cs="Arial" w:eastAsia="Arial" w:hAnsi="Arial"/>
          <w:b/>
          <w:bCs/>
          <w:color w:val="1a5c38"/>
          <w:sz w:val="20"/>
          <w:szCs w:val="20"/>
        </w:rPr>
        <w:t xml:space="preserve">المطالبة 7</w:t>
      </w:r>
    </w:p>
    <w:p>
      <w:pPr>
        <w:bidi/>
        <w:spacing w:after="60" w:before="60"/>
        <w:jc w:val="right"/>
      </w:pPr>
      <w:r>
        <w:rPr>
          <w:rFonts w:ascii="Arial" w:cs="Arial" w:eastAsia="Arial" w:hAnsi="Arial"/>
          <w:b w:val="false"/>
          <w:bCs w:val="false"/>
          <w:color w:val="2c2c2c"/>
          <w:sz w:val="20"/>
          <w:szCs w:val="20"/>
        </w:rPr>
        <w:t xml:space="preserve">طريقة إنتاج الكربون النشط الحي تتضمن بالترتيب: تفحيم، تنظيف بحمض الستريك، غمر في ZnCl₂، تكليس مع بخار ذاتي، غسيل، تلقيح بـ Bacillus subtilis، تجفيف.</w:t>
      </w:r>
    </w:p>
    <w:p>
      <w:pPr>
        <w:spacing w:after="0" w:before="40"/>
        <w:jc w:val="center"/>
      </w:pPr>
      <w:r>
        <w:rPr>
          <w:rFonts w:ascii="Arial" w:cs="Arial" w:eastAsia="Arial" w:hAnsi="Arial"/>
          <w:color w:val="CCCCCC"/>
          <w:sz w:val="16"/>
          <w:szCs w:val="16"/>
        </w:rPr>
        <w:t xml:space="preserve">⸻</w:t>
      </w:r>
    </w:p>
    <w:p>
      <w:pPr>
        <w:spacing w:after="0" w:before="40"/>
      </w:pPr>
      <w:r>
        <w:t xml:space="preserve"/>
      </w:r>
    </w:p>
    <w:p>
      <w:pPr>
        <w:spacing w:after="80" w:before="80"/>
        <w:jc w:val="center"/>
      </w:pPr>
      <w:r>
        <w:t xml:space="preserve">⸻</w:t>
      </w:r>
    </w:p>
    <w:p>
      <w:pPr>
        <w:spacing w:after="0" w:before="140"/>
      </w:pPr>
      <w:r>
        <w:t xml:space="preserve"/>
      </w:r>
    </w:p>
    <w:p>
      <w:pPr>
        <w:pBdr>
          <w:top w:val="single" w:color="b8860b" w:sz="3"/>
          <w:bottom w:val="single" w:color="b8860b" w:sz="3"/>
        </w:pBdr>
        <w:shd w:fill="1a5c38" w:val="clear"/>
        <w:bidi/>
        <w:spacing w:after="0" w:before="0"/>
        <w:ind w:left="360" w:right="360"/>
        <w:jc w:val="right"/>
      </w:pPr>
      <w:r>
        <w:rPr>
          <w:rFonts w:ascii="Arial" w:cs="Arial" w:eastAsia="Arial" w:hAnsi="Arial"/>
          <w:b/>
          <w:bCs/>
          <w:color w:val="FFFFFF"/>
          <w:sz w:val="24"/>
          <w:szCs w:val="24"/>
        </w:rPr>
        <w:t xml:space="preserve">9. التطبيقات الصناعية</w:t>
      </w:r>
    </w:p>
    <w:p>
      <w:pPr>
        <w:spacing w:after="60" w:before="60"/>
      </w:pPr>
      <w:r>
        <w:t xml:space="preserve"/>
      </w:r>
    </w:p>
    <w:p>
      <w:pPr>
        <w:pStyle w:val="ListParagraph"/>
        <w:numPr>
          <w:ilvl w:val="0"/>
          <w:numId w:val="2"/>
        </w:numPr>
        <w:bidi/>
        <w:spacing w:after="40" w:before="40"/>
        <w:jc w:val="right"/>
      </w:pPr>
      <w:r>
        <w:rPr>
          <w:rFonts w:ascii="Arial" w:cs="Arial" w:eastAsia="Arial" w:hAnsi="Arial"/>
          <w:color w:val="2c2c2c"/>
          <w:sz w:val="20"/>
          <w:szCs w:val="20"/>
        </w:rPr>
        <w:t xml:space="preserve">تنقية مياه محطات تحلية SWCC — بديل مباشر للكربون الهندي والصيني المستورد</w:t>
      </w:r>
    </w:p>
    <w:p>
      <w:pPr>
        <w:pStyle w:val="ListParagraph"/>
        <w:numPr>
          <w:ilvl w:val="0"/>
          <w:numId w:val="2"/>
        </w:numPr>
        <w:bidi/>
        <w:spacing w:after="40" w:before="40"/>
        <w:jc w:val="right"/>
      </w:pPr>
      <w:r>
        <w:rPr>
          <w:rFonts w:ascii="Arial" w:cs="Arial" w:eastAsia="Arial" w:hAnsi="Arial"/>
          <w:color w:val="2c2c2c"/>
          <w:sz w:val="20"/>
          <w:szCs w:val="20"/>
        </w:rPr>
        <w:t xml:space="preserve">معالجة الغازات الصناعية في مصافي أرامكو وسابك</w:t>
      </w:r>
    </w:p>
    <w:p>
      <w:pPr>
        <w:pStyle w:val="ListParagraph"/>
        <w:numPr>
          <w:ilvl w:val="0"/>
          <w:numId w:val="2"/>
        </w:numPr>
        <w:bidi/>
        <w:spacing w:after="40" w:before="40"/>
        <w:jc w:val="right"/>
      </w:pPr>
      <w:r>
        <w:rPr>
          <w:rFonts w:ascii="Arial" w:cs="Arial" w:eastAsia="Arial" w:hAnsi="Arial"/>
          <w:color w:val="2c2c2c"/>
          <w:sz w:val="20"/>
          <w:szCs w:val="20"/>
        </w:rPr>
        <w:t xml:space="preserve">معالجة مياه الصرف الصناعي والزراعي</w:t>
      </w:r>
    </w:p>
    <w:p>
      <w:pPr>
        <w:pStyle w:val="ListParagraph"/>
        <w:numPr>
          <w:ilvl w:val="0"/>
          <w:numId w:val="2"/>
        </w:numPr>
        <w:bidi/>
        <w:spacing w:after="40" w:before="40"/>
        <w:jc w:val="right"/>
      </w:pPr>
      <w:r>
        <w:rPr>
          <w:rFonts w:ascii="Arial" w:cs="Arial" w:eastAsia="Arial" w:hAnsi="Arial"/>
          <w:color w:val="2c2c2c"/>
          <w:sz w:val="20"/>
          <w:szCs w:val="20"/>
        </w:rPr>
        <w:t xml:space="preserve">أجهزة تنقية الهواء والمرشحات الطبية والغذائية</w:t>
      </w:r>
    </w:p>
    <w:p>
      <w:pPr>
        <w:pStyle w:val="ListParagraph"/>
        <w:numPr>
          <w:ilvl w:val="0"/>
          <w:numId w:val="2"/>
        </w:numPr>
        <w:bidi/>
        <w:spacing w:after="40" w:before="40"/>
        <w:jc w:val="right"/>
      </w:pPr>
      <w:r>
        <w:rPr>
          <w:rFonts w:ascii="Arial" w:cs="Arial" w:eastAsia="Arial" w:hAnsi="Arial"/>
          <w:color w:val="2c2c2c"/>
          <w:sz w:val="20"/>
          <w:szCs w:val="20"/>
        </w:rPr>
        <w:t xml:space="preserve">مرشحات المياه المنزلية وأنظمة التحلية الصغيرة</w:t>
      </w:r>
    </w:p>
    <w:p>
      <w:pPr>
        <w:spacing w:after="0" w:before="40"/>
      </w:pPr>
      <w:r>
        <w:t xml:space="preserve"/>
      </w:r>
    </w:p>
    <w:p>
      <w:pPr>
        <w:spacing w:after="80" w:before="80"/>
        <w:jc w:val="center"/>
      </w:pPr>
      <w:r>
        <w:t xml:space="preserve">⸻</w:t>
      </w:r>
    </w:p>
    <w:p>
      <w:pPr>
        <w:spacing w:after="0" w:before="140"/>
      </w:pPr>
      <w:r>
        <w:t xml:space="preserve"/>
      </w:r>
    </w:p>
    <w:p>
      <w:pPr>
        <w:pBdr>
          <w:top w:val="single" w:color="b8860b" w:sz="3"/>
          <w:bottom w:val="single" w:color="b8860b" w:sz="3"/>
        </w:pBdr>
        <w:shd w:fill="1a5c38" w:val="clear"/>
        <w:bidi/>
        <w:spacing w:after="0" w:before="0"/>
        <w:ind w:left="360" w:right="360"/>
        <w:jc w:val="right"/>
      </w:pPr>
      <w:r>
        <w:rPr>
          <w:rFonts w:ascii="Arial" w:cs="Arial" w:eastAsia="Arial" w:hAnsi="Arial"/>
          <w:b/>
          <w:bCs/>
          <w:color w:val="FFFFFF"/>
          <w:sz w:val="24"/>
          <w:szCs w:val="24"/>
        </w:rPr>
        <w:t xml:space="preserve">10. القابلية الصناعية</w:t>
      </w:r>
    </w:p>
    <w:p>
      <w:pPr>
        <w:spacing w:after="60" w:before="60"/>
      </w:pPr>
      <w:r>
        <w:t xml:space="preserve"/>
      </w:r>
    </w:p>
    <w:p>
      <w:pPr>
        <w:bidi/>
        <w:spacing w:after="60" w:before="60"/>
        <w:jc w:val="right"/>
      </w:pPr>
      <w:r>
        <w:rPr>
          <w:rFonts w:ascii="Arial" w:cs="Arial" w:eastAsia="Arial" w:hAnsi="Arial"/>
          <w:b w:val="false"/>
          <w:bCs w:val="false"/>
          <w:color w:val="2c2c2c"/>
          <w:sz w:val="20"/>
          <w:szCs w:val="20"/>
        </w:rPr>
        <w:t xml:space="preserve">يمكن تصنيع الكربون النشط الحي باستخدام براميل حديدية مغلقة وأفران تقليدية متاحة محلياً، مما يجعله قابلاً للتطبيق فورياً بتكلفة استثمارية منخفضة. المواد الخام متاحة في المملكة العربية السعودية بكميات ضخمة وبتكلفة شبه صفرية.</w:t>
      </w:r>
    </w:p>
    <w:p>
      <w:pPr>
        <w:spacing w:after="0" w:before="40"/>
      </w:pPr>
      <w:r>
        <w:t xml:space="preserve"/>
      </w:r>
    </w:p>
    <w:p>
      <w:pPr>
        <w:spacing w:after="80" w:before="80"/>
        <w:jc w:val="center"/>
      </w:pPr>
      <w:r>
        <w:t xml:space="preserv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120"/>
              <w:left w:type="dxa" w:w="0"/>
              <w:bottom w:type="dxa" w:w="120"/>
              <w:right w:type="dxa" w:w="200"/>
            </w:tcMar>
          </w:tcPr>
          <w:p>
            <w:pPr>
              <w:bidi/>
              <w:spacing w:after="60" w:before="60"/>
              <w:jc w:val="right"/>
            </w:pPr>
            <w:r>
              <w:rPr>
                <w:rFonts w:ascii="Arial" w:cs="Arial" w:eastAsia="Arial" w:hAnsi="Arial"/>
                <w:b w:val="false"/>
                <w:bCs w:val="false"/>
                <w:color w:val="555555"/>
                <w:sz w:val="18"/>
                <w:szCs w:val="18"/>
              </w:rPr>
              <w:t xml:space="preserve">المخترع وصاحب الطلب:</w:t>
            </w:r>
          </w:p>
          <w:p>
            <w:pPr>
              <w:bidi/>
              <w:spacing w:after="60" w:before="60"/>
              <w:jc w:val="right"/>
            </w:pPr>
            <w:r>
              <w:rPr>
                <w:rFonts w:ascii="Arial" w:cs="Arial" w:eastAsia="Arial" w:hAnsi="Arial"/>
                <w:b/>
                <w:bCs/>
                <w:color w:val="1a5c38"/>
                <w:sz w:val="22"/>
                <w:szCs w:val="22"/>
              </w:rPr>
              <w:t xml:space="preserve">د. خالد عبدالنعيم فندي</w:t>
            </w:r>
          </w:p>
          <w:p>
            <w:pPr>
              <w:bidi/>
              <w:spacing w:after="60" w:before="60"/>
              <w:jc w:val="right"/>
            </w:pPr>
            <w:r>
              <w:rPr>
                <w:rFonts w:ascii="Arial" w:cs="Arial" w:eastAsia="Arial" w:hAnsi="Arial"/>
                <w:b w:val="false"/>
                <w:bCs w:val="false"/>
                <w:color w:val="555555"/>
                <w:sz w:val="19"/>
                <w:szCs w:val="19"/>
              </w:rPr>
              <w:t xml:space="preserve">Honest Fendy Foundation™</w:t>
            </w:r>
          </w:p>
          <w:p>
            <w:pPr>
              <w:bidi/>
              <w:spacing w:after="60" w:before="60"/>
              <w:jc w:val="right"/>
            </w:pPr>
            <w:r>
              <w:rPr>
                <w:rFonts w:ascii="Arial" w:cs="Arial" w:eastAsia="Arial" w:hAnsi="Arial"/>
                <w:b w:val="false"/>
                <w:bCs w:val="false"/>
                <w:color w:val="2e7d52"/>
                <w:sz w:val="17"/>
                <w:szCs w:val="17"/>
              </w:rPr>
              <w:t xml:space="preserve">Made in Upper Egypt 🇪🇬 — ميد إن أبر إيجيبت</w:t>
            </w:r>
          </w:p>
        </w:tc>
        <w:tc>
          <w:tcPr>
            <w:tcW w:type="dxa" w:w="4513"/>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bidi/>
              <w:spacing w:after="60" w:before="60"/>
              <w:jc w:val="right"/>
            </w:pPr>
            <w:r>
              <w:rPr>
                <w:rFonts w:ascii="Arial" w:cs="Arial" w:eastAsia="Arial" w:hAnsi="Arial"/>
                <w:b w:val="false"/>
                <w:bCs w:val="false"/>
                <w:color w:val="555555"/>
                <w:sz w:val="18"/>
                <w:szCs w:val="18"/>
              </w:rPr>
              <w:t xml:space="preserve">التوقيع:</w:t>
            </w:r>
          </w:p>
          <w:p>
            <w:pPr>
              <w:spacing w:after="0" w:before="60"/>
            </w:pPr>
            <w:r>
              <w:t xml:space="preserve"/>
            </w:r>
          </w:p>
          <w:p>
            <w:pPr>
              <w:pBdr>
                <w:bottom w:val="single" w:color="1a5c38" w:sz="4" w:space="1"/>
              </w:pBdr>
              <w:spacing w:after="60" w:before="60"/>
            </w:pPr>
            <w:r>
              <w:t xml:space="preserve"/>
            </w:r>
          </w:p>
          <w:p>
            <w:pPr>
              <w:bidi/>
              <w:spacing w:after="60" w:before="60"/>
              <w:jc w:val="right"/>
            </w:pPr>
            <w:r>
              <w:rPr>
                <w:rFonts w:ascii="Arial" w:cs="Arial" w:eastAsia="Arial" w:hAnsi="Arial"/>
                <w:b w:val="false"/>
                <w:bCs w:val="false"/>
                <w:color w:val="555555"/>
                <w:sz w:val="18"/>
                <w:szCs w:val="18"/>
              </w:rPr>
              <w:t xml:space="preserve">التاريخ: مايو 2026</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38" w:sz="4" w:space="1"/>
      </w:pBdr>
      <w:bidi/>
      <w:spacing w:after="0" w:before="60"/>
      <w:jc w:val="right"/>
    </w:pPr>
    <w:r>
      <w:rPr>
        <w:rFonts w:ascii="Arial" w:cs="Arial" w:eastAsia="Arial" w:hAnsi="Arial"/>
        <w:color w:val="555555"/>
        <w:sz w:val="16"/>
        <w:szCs w:val="16"/>
      </w:rPr>
      <w:t xml:space="preserve">© 2026 Honest Fendy Foundation™  |  د. خالد عبدالنعيم فندي  |  صفحة </w:t>
    </w:r>
    <w:r>
      <w:rPr>
        <w:rFonts w:ascii="Arial" w:cs="Arial" w:eastAsia="Arial" w:hAnsi="Arial"/>
        <w:color w:val="1a5c3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4" w:space="1"/>
      </w:pBdr>
      <w:bidi/>
      <w:spacing w:after="60" w:before="0"/>
      <w:jc w:val="right"/>
    </w:pPr>
    <w:r>
      <w:rPr>
        <w:rFonts w:ascii="Arial" w:cs="Arial" w:eastAsia="Arial" w:hAnsi="Arial"/>
        <w:color w:val="555555"/>
        <w:sz w:val="16"/>
        <w:szCs w:val="16"/>
      </w:rPr>
      <w:t xml:space="preserve">الهيئة السعودية للملكية الفكرية — SAIP  |  طلب براءة اختراع  |  </w:t>
    </w:r>
    <w:r>
      <w:rPr>
        <w:rFonts w:ascii="Arial" w:cs="Arial" w:eastAsia="Arial" w:hAnsi="Arial"/>
        <w:b/>
        <w:bCs/>
        <w:color w:val="1a5c38"/>
        <w:sz w:val="16"/>
        <w:szCs w:val="16"/>
      </w:rPr>
      <w:t xml:space="preserve">الكربون النشط الحي™ — فندي بيو-AC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360"/>
      </w:pPr>
    </w:lvl>
  </w:abstractNum>
  <w:abstractNum w:abstractNumId="3" w15:restartNumberingAfterBreak="0">
    <w:multiLevelType w:val="hybridMultilevel"/>
    <w:lvl w:ilvl="0" w15:tentative="1">
      <w:start w:val="1"/>
      <w:numFmt w:val="decimal"/>
      <w:lvlText w:val="%1."/>
      <w:lvlJc w:val="right"/>
      <w:pPr>
        <w:ind w:righ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2026-05-24T18:35:11.280Z</dcterms:created>
  <dcterms:modified xsi:type="dcterms:W3CDTF">2026-05-24T18:35:11.293Z</dcterms:modified>
</cp:coreProperties>
</file>

<file path=docProps/custom.xml><?xml version="1.0" encoding="utf-8"?>
<Properties xmlns="http://schemas.openxmlformats.org/officeDocument/2006/custom-properties" xmlns:vt="http://schemas.openxmlformats.org/officeDocument/2006/docPropsVTypes"/>
</file>