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1F4E79" w:sz="4"/>
              <w:left w:val="single" w:color="1F4E79" w:sz="4"/>
              <w:bottom w:val="single" w:color="1F4E79" w:sz="4"/>
              <w:right w:val="single" w:color="1F4E79" w:sz="4"/>
            </w:tcBorders>
            <w:shd w:fill="1F4E79"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جمهورية مصر العربية</w:t>
            </w:r>
          </w:p>
          <w:p>
            <w:pPr>
              <w:jc w:val="center"/>
            </w:pPr>
            <w:r>
              <w:rPr>
                <w:rFonts w:ascii="Arial" w:cs="Arial" w:eastAsia="Arial" w:hAnsi="Arial"/>
                <w:b/>
                <w:bCs/>
                <w:color w:val="D9E8F5"/>
                <w:sz w:val="24"/>
                <w:szCs w:val="24"/>
              </w:rPr>
              <w:t xml:space="preserve">أكاديمية البحث العلمي والتكنولوجيا</w:t>
            </w:r>
          </w:p>
        </w:tc>
      </w:tr>
      <w:tr>
        <w:tc>
          <w:tcPr>
            <w:tcW w:type="dxa" w:w="9360"/>
            <w:gridSpan w:val="2"/>
            <w:tcBorders>
              <w:top w:val="single" w:color="1F4E79" w:sz="4"/>
              <w:left w:val="single" w:color="1F4E79" w:sz="4"/>
              <w:bottom w:val="single" w:color="1F4E79" w:sz="4"/>
              <w:right w:val="single" w:color="1F4E79" w:sz="4"/>
            </w:tcBorders>
            <w:shd w:fill="2E75B6" w:val="clear"/>
            <w:tcMar>
              <w:top w:type="dxa" w:w="200"/>
              <w:left w:type="dxa" w:w="200"/>
              <w:bottom w:type="dxa" w:w="200"/>
              <w:right w:type="dxa" w:w="200"/>
            </w:tcMar>
          </w:tcPr>
          <w:p>
            <w:pPr>
              <w:jc w:val="center"/>
            </w:pPr>
            <w:r>
              <w:rPr>
                <w:rFonts w:ascii="Arial" w:cs="Arial" w:eastAsia="Arial" w:hAnsi="Arial"/>
                <w:b/>
                <w:bCs/>
                <w:color w:val="FFFFFF"/>
                <w:sz w:val="32"/>
                <w:szCs w:val="32"/>
              </w:rPr>
              <w:t xml:space="preserve">طلب منح براءة اختراع</w:t>
            </w:r>
          </w:p>
          <w:p>
            <w:pPr>
              <w:spacing w:before="80"/>
              <w:jc w:val="center"/>
            </w:pPr>
            <w:r>
              <w:rPr>
                <w:rFonts w:ascii="Arial" w:cs="Arial" w:eastAsia="Arial" w:hAnsi="Arial"/>
                <w:b/>
                <w:bCs/>
                <w:color w:val="FFC000"/>
                <w:sz w:val="26"/>
                <w:szCs w:val="26"/>
              </w:rPr>
              <w:t xml:space="preserve">طريقة إنتاج كربون نشط سوبر من خمسة مخلفات زراعية مصرية</w:t>
            </w:r>
          </w:p>
          <w:p>
            <w:pPr>
              <w:spacing w:before="60"/>
              <w:jc w:val="center"/>
            </w:pPr>
            <w:r>
              <w:rPr>
                <w:rFonts w:ascii="Arial" w:cs="Arial" w:eastAsia="Arial" w:hAnsi="Arial"/>
                <w:color w:val="D9E8F5"/>
                <w:sz w:val="22"/>
                <w:szCs w:val="22"/>
              </w:rPr>
              <w:t xml:space="preserve">ببروتوكول الغمر الكيميائي-الحيوي المتدرج المبتكر</w:t>
            </w:r>
          </w:p>
          <w:p>
            <w:pPr>
              <w:spacing w:before="40"/>
              <w:jc w:val="center"/>
            </w:pPr>
            <w:r>
              <w:rPr>
                <w:rFonts w:ascii="Arial" w:cs="Arial" w:eastAsia="Arial" w:hAnsi="Arial"/>
                <w:i/>
                <w:iCs/>
                <w:color w:val="AACFE4"/>
                <w:sz w:val="20"/>
                <w:szCs w:val="20"/>
              </w:rPr>
              <w:t xml:space="preserve">(Hexa-Stage Bio-Activation Protocol — HSBAP)</w:t>
            </w:r>
          </w:p>
        </w:tc>
      </w:tr>
      <w:tr>
        <w:tc>
          <w:tcPr>
            <w:tcW w:type="dxa" w:w="32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المخترع</w:t>
            </w:r>
          </w:p>
        </w:tc>
        <w:tc>
          <w:tcPr>
            <w:tcW w:type="dxa" w:w="61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د. خالد — باحث بيئي مستقل</w:t>
            </w:r>
          </w:p>
        </w:tc>
      </w:tr>
      <w:tr>
        <w:tc>
          <w:tcPr>
            <w:tcW w:type="dxa" w:w="32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الجنسية</w:t>
            </w:r>
          </w:p>
        </w:tc>
        <w:tc>
          <w:tcPr>
            <w:tcW w:type="dxa" w:w="616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مصري</w:t>
            </w:r>
          </w:p>
        </w:tc>
      </w:tr>
      <w:tr>
        <w:tc>
          <w:tcPr>
            <w:tcW w:type="dxa" w:w="32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تاريخ التقديم</w:t>
            </w:r>
          </w:p>
        </w:tc>
        <w:tc>
          <w:tcPr>
            <w:tcW w:type="dxa" w:w="61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مارس 2026</w:t>
            </w:r>
          </w:p>
        </w:tc>
      </w:tr>
      <w:tr>
        <w:tc>
          <w:tcPr>
            <w:tcW w:type="dxa" w:w="32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تصنيف الاختراع</w:t>
            </w:r>
          </w:p>
        </w:tc>
        <w:tc>
          <w:tcPr>
            <w:tcW w:type="dxa" w:w="616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هندسة كيميائية — معالجة المياه — بيئة</w:t>
            </w:r>
          </w:p>
        </w:tc>
      </w:tr>
      <w:tr>
        <w:tc>
          <w:tcPr>
            <w:tcW w:type="dxa" w:w="32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براءات سابقة للمخترع</w:t>
            </w:r>
          </w:p>
        </w:tc>
        <w:tc>
          <w:tcPr>
            <w:tcW w:type="dxa" w:w="61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6 براءات مسجلة في مجال البيئة والمياه</w:t>
            </w:r>
          </w:p>
        </w:tc>
      </w:tr>
      <w:tr>
        <w:tc>
          <w:tcPr>
            <w:tcW w:type="dxa" w:w="9360"/>
            <w:gridSpan w:val="2"/>
            <w:tcBorders>
              <w:top w:val="single" w:color="1F4E79" w:sz="4"/>
              <w:left w:val="single" w:color="1F4E79" w:sz="4"/>
              <w:bottom w:val="single" w:color="1F4E79" w:sz="4"/>
              <w:right w:val="single" w:color="1F4E79" w:sz="4"/>
            </w:tcBorders>
            <w:shd w:fill="FFF3CD" w:val="clear"/>
            <w:tcMar>
              <w:top w:type="dxa" w:w="100"/>
              <w:left w:type="dxa" w:w="200"/>
              <w:bottom w:type="dxa" w:w="100"/>
              <w:right w:type="dxa" w:w="200"/>
            </w:tcMar>
          </w:tcPr>
          <w:p>
            <w:pPr>
              <w:jc w:val="center"/>
            </w:pPr>
            <w:r>
              <w:rPr>
                <w:rFonts w:ascii="Arial" w:cs="Arial" w:eastAsia="Arial" w:hAnsi="Arial"/>
                <w:b/>
                <w:bCs/>
                <w:color w:val="7F4F00"/>
                <w:sz w:val="20"/>
                <w:szCs w:val="20"/>
              </w:rPr>
              <w:t xml:space="preserve">سري — محاط بحماية قانونية كاملة لحين منح البراءة</w:t>
            </w:r>
          </w:p>
        </w:tc>
      </w:tr>
    </w:tbl>
    <w:p>
      <w:pPr>
        <w:spacing w:after="400"/>
      </w:pPr>
    </w:p>
    <w:p>
      <w:pPr>
        <w:pBdr>
          <w:bottom w:val="single" w:color="1F4E79" w:sz="6" w:space="4"/>
        </w:pBdr>
        <w:spacing w:after="120" w:before="320"/>
      </w:pPr>
      <w:r>
        <w:rPr>
          <w:rFonts w:ascii="Arial" w:cs="Arial" w:eastAsia="Arial" w:hAnsi="Arial"/>
          <w:b/>
          <w:bCs/>
          <w:color w:val="1F4E79"/>
          <w:sz w:val="26"/>
          <w:szCs w:val="26"/>
        </w:rPr>
        <w:t xml:space="preserve">أولاً  مجال الاختراع</w:t>
      </w:r>
    </w:p>
    <w:p>
      <w:pPr>
        <w:bidi/>
        <w:spacing w:after="120"/>
        <w:jc w:val="right"/>
      </w:pPr>
      <w:r>
        <w:rPr>
          <w:rFonts w:ascii="Arial" w:cs="Arial" w:eastAsia="Arial" w:hAnsi="Arial"/>
          <w:color w:val="1A1A1A"/>
          <w:sz w:val="22"/>
          <w:szCs w:val="22"/>
        </w:rPr>
        <w:t xml:space="preserve">يتعلق هذا الاختراع بطريقة مبتكرة لإنتاج كربون نشط (Activated Carbon) عالي الجودة من خليط محدد النسب من خمسة مخلفات زراعية مصرية، باستخدام بروتوكول غمر كيميائي-حيوي متتالٍ ذي ست مراحل متكاملة (HSBAP) قبل التفحيم وخلاله وبعده. ينتج عن هذه الطريقة كربون نشط ذو توزيع مسامي ثنائي النمط (Bimodal Pore Distribution) يفوق في أدائه الكربون النشط المستورد من الفحم الحجري والكوك الهندي، مع تكلفة إنتاج أقل بـ 55–70%.</w:t>
      </w:r>
    </w:p>
    <w:p>
      <w:pPr>
        <w:pBdr>
          <w:bottom w:val="single" w:color="1F4E79" w:sz="6" w:space="4"/>
        </w:pBdr>
        <w:spacing w:after="120" w:before="320"/>
      </w:pPr>
      <w:r>
        <w:rPr>
          <w:rFonts w:ascii="Arial" w:cs="Arial" w:eastAsia="Arial" w:hAnsi="Arial"/>
          <w:b/>
          <w:bCs/>
          <w:color w:val="1F4E79"/>
          <w:sz w:val="26"/>
          <w:szCs w:val="26"/>
        </w:rPr>
        <w:t xml:space="preserve">ثانياً  خلفية الاختراع والمشكلة المحلولة</w:t>
      </w:r>
    </w:p>
    <w:p>
      <w:pPr>
        <w:bidi/>
        <w:spacing w:after="120"/>
        <w:jc w:val="right"/>
      </w:pPr>
      <w:r>
        <w:rPr>
          <w:rFonts w:ascii="Arial" w:cs="Arial" w:eastAsia="Arial" w:hAnsi="Arial"/>
          <w:color w:val="1A1A1A"/>
          <w:sz w:val="22"/>
          <w:szCs w:val="22"/>
        </w:rPr>
        <w:t xml:space="preserve">تعاني مصر من مشكلتين بيئيتين متزامنتين:</w:t>
      </w:r>
    </w:p>
    <w:p>
      <w:pPr>
        <w:pStyle w:val="ListParagraph"/>
        <w:numPr>
          <w:ilvl w:val="0"/>
          <w:numId w:val="2"/>
        </w:numPr>
        <w:bidi/>
        <w:spacing w:after="80"/>
        <w:jc w:val="right"/>
      </w:pPr>
      <w:r>
        <w:rPr>
          <w:rFonts w:ascii="Arial" w:cs="Arial" w:eastAsia="Arial" w:hAnsi="Arial"/>
          <w:color w:val="1A1A1A"/>
          <w:sz w:val="22"/>
          <w:szCs w:val="22"/>
        </w:rPr>
        <w:t xml:space="preserve">مشكلة الخامات: تُحرق ملايين الأطنان من المخلفات الزراعية سنوياً (قش الأرز — السحابة السوداء) أو تُلقى في المجاري المائية (ورد النيل)، مما يُسبب أضراراً صحية وبيئية جسيمة.</w:t>
      </w:r>
    </w:p>
    <w:p>
      <w:pPr>
        <w:pStyle w:val="ListParagraph"/>
        <w:numPr>
          <w:ilvl w:val="0"/>
          <w:numId w:val="2"/>
        </w:numPr>
        <w:bidi/>
        <w:spacing w:after="80"/>
        <w:jc w:val="right"/>
      </w:pPr>
      <w:r>
        <w:rPr>
          <w:rFonts w:ascii="Arial" w:cs="Arial" w:eastAsia="Arial" w:hAnsi="Arial"/>
          <w:color w:val="1A1A1A"/>
          <w:sz w:val="22"/>
          <w:szCs w:val="22"/>
        </w:rPr>
        <w:t xml:space="preserve">مشكلة الاستيراد: تستورد مصر ما يزيد على 90% من احتياجاتها من الكربون النشط بالعملة الصعبة (~15–20 مليون دولار سنوياً) رغم توافر الخامات اللازمة لإنتاجه محلياً.</w:t>
      </w:r>
    </w:p>
    <w:p>
      <w:pPr>
        <w:bidi/>
        <w:spacing w:after="120"/>
        <w:jc w:val="right"/>
      </w:pPr>
      <w:r>
        <w:rPr>
          <w:rFonts w:ascii="Arial" w:cs="Arial" w:eastAsia="Arial" w:hAnsi="Arial"/>
          <w:color w:val="1A1A1A"/>
          <w:sz w:val="22"/>
          <w:szCs w:val="22"/>
        </w:rPr>
        <w:t xml:space="preserve">جاء هذا الاختراع ليحل المشكلتين معاً، بتحويل هذه المخلفات إلى منتج صناعي عالي القيمة يحقق الاكتفاء الذاتي ويمكن تصديره للأسواق العربية.</w:t>
      </w:r>
    </w:p>
    <w:p>
      <w:pPr>
        <w:pBdr>
          <w:bottom w:val="single" w:color="1F4E79" w:sz="6" w:space="4"/>
        </w:pBdr>
        <w:spacing w:after="120" w:before="320"/>
      </w:pPr>
      <w:r>
        <w:rPr>
          <w:rFonts w:ascii="Arial" w:cs="Arial" w:eastAsia="Arial" w:hAnsi="Arial"/>
          <w:b/>
          <w:bCs/>
          <w:color w:val="1F4E79"/>
          <w:sz w:val="26"/>
          <w:szCs w:val="26"/>
        </w:rPr>
        <w:t xml:space="preserve">ثالثاً  الفرق عن الأبحاث السابقة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وجه المقارنة</w:t>
            </w:r>
          </w:p>
        </w:tc>
        <w:tc>
          <w:tcPr>
            <w:tcW w:type="dxa" w:w="31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الأبحاث السابقة</w:t>
            </w:r>
          </w:p>
        </w:tc>
        <w:tc>
          <w:tcPr>
            <w:tcW w:type="dxa" w:w="38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هذا الاختراع</w:t>
            </w:r>
          </w:p>
        </w:tc>
      </w:tr>
      <w:tr>
        <w:tc>
          <w:tcPr>
            <w:tcW w:type="dxa" w:w="24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الخامات</w:t>
            </w:r>
          </w:p>
        </w:tc>
        <w:tc>
          <w:tcPr>
            <w:tcW w:type="dxa" w:w="31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خامة واحدة فقط</w:t>
            </w:r>
          </w:p>
        </w:tc>
        <w:tc>
          <w:tcPr>
            <w:tcW w:type="dxa" w:w="3860"/>
            <w:tcBorders>
              <w:top w:val="single" w:color="AAAAAA" w:sz="2"/>
              <w:left w:val="single" w:color="AAAAAA" w:sz="2"/>
              <w:bottom w:val="single" w:color="AAAAAA" w:sz="2"/>
              <w:right w:val="single" w:color="AAAAAA" w:sz="2"/>
            </w:tcBorders>
            <w:shd w:fill="E8F5E9"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خليط خمس خامات بنسب محددة ومحمية</w:t>
            </w:r>
          </w:p>
        </w:tc>
      </w:tr>
      <w:tr>
        <w:tc>
          <w:tcPr>
            <w:tcW w:type="dxa" w:w="24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بروتوكول التنشيط</w:t>
            </w:r>
          </w:p>
        </w:tc>
        <w:tc>
          <w:tcPr>
            <w:tcW w:type="dxa" w:w="31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حمض واحد أو بخار ماء</w:t>
            </w:r>
          </w:p>
        </w:tc>
        <w:tc>
          <w:tcPr>
            <w:tcW w:type="dxa" w:w="3860"/>
            <w:tcBorders>
              <w:top w:val="single" w:color="AAAAAA" w:sz="2"/>
              <w:left w:val="single" w:color="AAAAAA" w:sz="2"/>
              <w:bottom w:val="single" w:color="AAAAAA" w:sz="2"/>
              <w:right w:val="single" w:color="AAAAAA" w:sz="2"/>
            </w:tcBorders>
            <w:shd w:fill="F1FAF2"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غمر متتالٍ بمرحلتين كيميائية-حيوية</w:t>
            </w:r>
          </w:p>
        </w:tc>
      </w:tr>
      <w:tr>
        <w:tc>
          <w:tcPr>
            <w:tcW w:type="dxa" w:w="24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التوزيع المسامي</w:t>
            </w:r>
          </w:p>
        </w:tc>
        <w:tc>
          <w:tcPr>
            <w:tcW w:type="dxa" w:w="31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أحادي النمط</w:t>
            </w:r>
          </w:p>
        </w:tc>
        <w:tc>
          <w:tcPr>
            <w:tcW w:type="dxa" w:w="3860"/>
            <w:tcBorders>
              <w:top w:val="single" w:color="AAAAAA" w:sz="2"/>
              <w:left w:val="single" w:color="AAAAAA" w:sz="2"/>
              <w:bottom w:val="single" w:color="AAAAAA" w:sz="2"/>
              <w:right w:val="single" w:color="AAAAAA" w:sz="2"/>
            </w:tcBorders>
            <w:shd w:fill="E8F5E9"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ثنائي النمط (Bimodal) — ميزة فريدة</w:t>
            </w:r>
          </w:p>
        </w:tc>
      </w:tr>
      <w:tr>
        <w:tc>
          <w:tcPr>
            <w:tcW w:type="dxa" w:w="24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التكلفة</w:t>
            </w:r>
          </w:p>
        </w:tc>
        <w:tc>
          <w:tcPr>
            <w:tcW w:type="dxa" w:w="31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خامات مشتراة</w:t>
            </w:r>
          </w:p>
        </w:tc>
        <w:tc>
          <w:tcPr>
            <w:tcW w:type="dxa" w:w="3860"/>
            <w:tcBorders>
              <w:top w:val="single" w:color="AAAAAA" w:sz="2"/>
              <w:left w:val="single" w:color="AAAAAA" w:sz="2"/>
              <w:bottom w:val="single" w:color="AAAAAA" w:sz="2"/>
              <w:right w:val="single" w:color="AAAAAA" w:sz="2"/>
            </w:tcBorders>
            <w:shd w:fill="F1FAF2"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مخلفات مجانية أو رخيصة جداً</w:t>
            </w:r>
          </w:p>
        </w:tc>
      </w:tr>
      <w:tr>
        <w:tc>
          <w:tcPr>
            <w:tcW w:type="dxa" w:w="24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الأثر البيئي</w:t>
            </w:r>
          </w:p>
        </w:tc>
        <w:tc>
          <w:tcPr>
            <w:tcW w:type="dxa" w:w="31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محدود</w:t>
            </w:r>
          </w:p>
        </w:tc>
        <w:tc>
          <w:tcPr>
            <w:tcW w:type="dxa" w:w="3860"/>
            <w:tcBorders>
              <w:top w:val="single" w:color="AAAAAA" w:sz="2"/>
              <w:left w:val="single" w:color="AAAAAA" w:sz="2"/>
              <w:bottom w:val="single" w:color="AAAAAA" w:sz="2"/>
              <w:right w:val="single" w:color="AAAAAA" w:sz="2"/>
            </w:tcBorders>
            <w:shd w:fill="E8F5E9"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حل خمس مشكلات بيئية في آنٍ واحد</w:t>
            </w:r>
          </w:p>
        </w:tc>
      </w:tr>
      <w:tr>
        <w:tc>
          <w:tcPr>
            <w:tcW w:type="dxa" w:w="24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التجربة الفعلية</w:t>
            </w:r>
          </w:p>
        </w:tc>
        <w:tc>
          <w:tcPr>
            <w:tcW w:type="dxa" w:w="31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معملية فقط</w:t>
            </w:r>
          </w:p>
        </w:tc>
        <w:tc>
          <w:tcPr>
            <w:tcW w:type="dxa" w:w="3860"/>
            <w:tcBorders>
              <w:top w:val="single" w:color="AAAAAA" w:sz="2"/>
              <w:left w:val="single" w:color="AAAAAA" w:sz="2"/>
              <w:bottom w:val="single" w:color="AAAAAA" w:sz="2"/>
              <w:right w:val="single" w:color="AAAAAA" w:sz="2"/>
            </w:tcBorders>
            <w:shd w:fill="F1FAF2"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مُثبت ميدانياً في ظروف صناعية حقيقية</w:t>
            </w:r>
          </w:p>
        </w:tc>
      </w:tr>
    </w:tbl>
    <w:p>
      <w:pPr>
        <w:spacing w:after="200"/>
      </w:pPr>
    </w:p>
    <w:p>
      <w:pPr>
        <w:pBdr>
          <w:bottom w:val="single" w:color="1F4E79" w:sz="6" w:space="4"/>
        </w:pBdr>
        <w:spacing w:after="120" w:before="320"/>
      </w:pPr>
      <w:r>
        <w:rPr>
          <w:rFonts w:ascii="Arial" w:cs="Arial" w:eastAsia="Arial" w:hAnsi="Arial"/>
          <w:b/>
          <w:bCs/>
          <w:color w:val="1F4E79"/>
          <w:sz w:val="26"/>
          <w:szCs w:val="26"/>
        </w:rPr>
        <w:t xml:space="preserve">رابعاً  التركيبة الذهبية للخليط — جوهر الاختراع</w:t>
      </w:r>
    </w:p>
    <w:p>
      <w:pPr>
        <w:bidi/>
        <w:spacing w:after="120"/>
        <w:jc w:val="right"/>
      </w:pPr>
      <w:r>
        <w:rPr>
          <w:rFonts w:ascii="Arial" w:cs="Arial" w:eastAsia="Arial" w:hAnsi="Arial"/>
          <w:color w:val="1A1A1A"/>
          <w:sz w:val="22"/>
          <w:szCs w:val="22"/>
        </w:rPr>
        <w:t xml:space="preserve">يتميز هذا الاختراع بنسب محددة ومحمية للخامات الخمسة، توصل إليها المخترع من خلال تجارب ميدانية فعلية وتحليل علمي معمّق للتركيبة الكيميائية لكل خامة وتفاعلها التآزري مع باقي المكونات:</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60"/>
        <w:gridCol w:w="270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الخامة</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النسبة</w:t>
            </w:r>
          </w:p>
        </w:tc>
        <w:tc>
          <w:tcPr>
            <w:tcW w:type="dxa" w:w="34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الدور الوظيفي</w:t>
            </w:r>
          </w:p>
        </w:tc>
        <w:tc>
          <w:tcPr>
            <w:tcW w:type="dxa" w:w="2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المصدر البيئي</w:t>
            </w:r>
          </w:p>
        </w:tc>
      </w:tr>
      <w:tr>
        <w:tc>
          <w:tcPr>
            <w:tcW w:type="dxa" w:w="18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نوى الزيتون</w:t>
            </w:r>
          </w:p>
        </w:tc>
        <w:tc>
          <w:tcPr>
            <w:tcW w:type="dxa" w:w="14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40% ± 3%</w:t>
            </w:r>
          </w:p>
        </w:tc>
        <w:tc>
          <w:tcPr>
            <w:tcW w:type="dxa" w:w="34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مصدر Micropores الدقيقة — العمود الفقري للامتصاص</w:t>
            </w:r>
          </w:p>
        </w:tc>
        <w:tc>
          <w:tcPr>
            <w:tcW w:type="dxa" w:w="27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مصانع زيت الزيتون</w:t>
            </w:r>
          </w:p>
        </w:tc>
      </w:tr>
      <w:tr>
        <w:tc>
          <w:tcPr>
            <w:tcW w:type="dxa" w:w="18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نوى البلح</w:t>
            </w:r>
          </w:p>
        </w:tc>
        <w:tc>
          <w:tcPr>
            <w:tcW w:type="dxa" w:w="14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25% ± 3%</w:t>
            </w:r>
          </w:p>
        </w:tc>
        <w:tc>
          <w:tcPr>
            <w:tcW w:type="dxa" w:w="346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هيكل كربوني صلب — يمنع الانهيار الحراري</w:t>
            </w:r>
          </w:p>
        </w:tc>
        <w:tc>
          <w:tcPr>
            <w:tcW w:type="dxa" w:w="27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مناطق النخيل والواحات</w:t>
            </w:r>
          </w:p>
        </w:tc>
      </w:tr>
      <w:tr>
        <w:tc>
          <w:tcPr>
            <w:tcW w:type="dxa" w:w="18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زعف النخل</w:t>
            </w:r>
          </w:p>
        </w:tc>
        <w:tc>
          <w:tcPr>
            <w:tcW w:type="dxa" w:w="14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15% ± 2%</w:t>
            </w:r>
          </w:p>
        </w:tc>
        <w:tc>
          <w:tcPr>
            <w:tcW w:type="dxa" w:w="34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ألياف سليلوزية رابطة — تمنع التفتت</w:t>
            </w:r>
          </w:p>
        </w:tc>
        <w:tc>
          <w:tcPr>
            <w:tcW w:type="dxa" w:w="27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مزارع النخيل</w:t>
            </w:r>
          </w:p>
        </w:tc>
      </w:tr>
      <w:tr>
        <w:tc>
          <w:tcPr>
            <w:tcW w:type="dxa" w:w="18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ورد النيل (مجفف)</w:t>
            </w:r>
          </w:p>
        </w:tc>
        <w:tc>
          <w:tcPr>
            <w:tcW w:type="dxa" w:w="14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12% ± 2%</w:t>
            </w:r>
          </w:p>
        </w:tc>
        <w:tc>
          <w:tcPr>
            <w:tcW w:type="dxa" w:w="346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تنشيط حيوي سريع — يرفع مساحة السطح</w:t>
            </w:r>
          </w:p>
        </w:tc>
        <w:tc>
          <w:tcPr>
            <w:tcW w:type="dxa" w:w="27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ترع مصر — مشكلة بيئية</w:t>
            </w:r>
          </w:p>
        </w:tc>
      </w:tr>
      <w:tr>
        <w:tc>
          <w:tcPr>
            <w:tcW w:type="dxa" w:w="18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قش الأرز</w:t>
            </w:r>
          </w:p>
        </w:tc>
        <w:tc>
          <w:tcPr>
            <w:tcW w:type="dxa" w:w="14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8% ± 2%</w:t>
            </w:r>
          </w:p>
        </w:tc>
        <w:tc>
          <w:tcPr>
            <w:tcW w:type="dxa" w:w="34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سيليكا طبيعية — تُكوّن Mesopores المتوسطة</w:t>
            </w:r>
          </w:p>
        </w:tc>
        <w:tc>
          <w:tcPr>
            <w:tcW w:type="dxa" w:w="27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حقول الدلتا</w:t>
            </w:r>
          </w:p>
        </w:tc>
      </w:tr>
    </w:tbl>
    <w:p>
      <w:pPr>
        <w:spacing w:after="120"/>
      </w:pPr>
    </w:p>
    <w:p>
      <w:pPr>
        <w:pBdr>
          <w:top w:val="single" w:color="FFC000" w:sz="4"/>
          <w:left w:val="single" w:color="FFC000" w:sz="4"/>
          <w:bottom w:val="single" w:color="FFC000" w:sz="4"/>
          <w:right w:val="single" w:color="FFC000" w:sz="12"/>
        </w:pBdr>
        <w:shd w:fill="FFFBF0" w:val="clear"/>
        <w:bidi/>
        <w:spacing w:after="120" w:before="120"/>
        <w:jc w:val="right"/>
      </w:pPr>
      <w:r>
        <w:rPr>
          <w:rFonts w:ascii="Arial" w:cs="Arial" w:eastAsia="Arial" w:hAnsi="Arial"/>
          <w:i/>
          <w:iCs/>
          <w:color w:val="7F4F00"/>
          <w:sz w:val="20"/>
          <w:szCs w:val="20"/>
        </w:rPr>
        <w:t xml:space="preserve">⚠  ملاحظة قانونية: تُعد هذه النسب بمجموعها، وأي تركيبة تشمل ثلاثاً منها أو أكثر ضمن نطاق ±5% من الأوزان المذكورة، جزءاً محورياً من نطاق حماية هذه البراءة.</w:t>
      </w:r>
    </w:p>
    <w:p>
      <w:pPr>
        <w:pBdr>
          <w:bottom w:val="single" w:color="1F4E79" w:sz="6" w:space="4"/>
        </w:pBdr>
        <w:spacing w:after="120" w:before="320"/>
      </w:pPr>
      <w:r>
        <w:rPr>
          <w:rFonts w:ascii="Arial" w:cs="Arial" w:eastAsia="Arial" w:hAnsi="Arial"/>
          <w:b/>
          <w:bCs/>
          <w:color w:val="1F4E79"/>
          <w:sz w:val="26"/>
          <w:szCs w:val="26"/>
        </w:rPr>
        <w:t xml:space="preserve">خامساً  بروتوكول الإنتاج المبتكر — HSBAP</w:t>
      </w:r>
    </w:p>
    <w:p>
      <w:pPr>
        <w:bidi/>
        <w:spacing w:after="120"/>
        <w:jc w:val="right"/>
      </w:pPr>
      <w:r>
        <w:rPr>
          <w:rFonts w:ascii="Arial" w:cs="Arial" w:eastAsia="Arial" w:hAnsi="Arial"/>
          <w:color w:val="1A1A1A"/>
          <w:sz w:val="22"/>
          <w:szCs w:val="22"/>
        </w:rPr>
        <w:t xml:space="preserve">يتكون البروتوكول من ست مراحل متتالية ومتكاملة كما يلي:</w:t>
      </w:r>
    </w:p>
    <w:p>
      <w:pPr>
        <w:bidi/>
        <w:spacing w:after="60" w:before="160"/>
      </w:pPr>
      <w:r>
        <w:rPr>
          <w:rFonts w:ascii="Arial" w:cs="Arial" w:eastAsia="Arial" w:hAnsi="Arial"/>
          <w:b/>
          <w:bCs/>
          <w:color w:val="1F4E79"/>
          <w:sz w:val="24"/>
          <w:szCs w:val="24"/>
        </w:rPr>
        <w:t xml:space="preserve">المرحلة الأولى: التحضير والطحن</w:t>
      </w:r>
    </w:p>
    <w:p>
      <w:pPr>
        <w:pStyle w:val="ListParagraph"/>
        <w:numPr>
          <w:ilvl w:val="0"/>
          <w:numId w:val="2"/>
        </w:numPr>
        <w:bidi/>
        <w:spacing w:after="80"/>
        <w:jc w:val="right"/>
      </w:pPr>
      <w:r>
        <w:rPr>
          <w:rFonts w:ascii="Arial" w:cs="Arial" w:eastAsia="Arial" w:hAnsi="Arial"/>
          <w:color w:val="1A1A1A"/>
          <w:sz w:val="22"/>
          <w:szCs w:val="22"/>
        </w:rPr>
        <w:t xml:space="preserve">تُجمع الخامات الخمسة وتُجفف تجفيفاً أولياً في الشمس 48–72 ساعة، أو في فرن عند 80°C حتى الوصول لرطوبة أقل من 15%.</w:t>
      </w:r>
    </w:p>
    <w:p>
      <w:pPr>
        <w:pStyle w:val="ListParagraph"/>
        <w:numPr>
          <w:ilvl w:val="0"/>
          <w:numId w:val="2"/>
        </w:numPr>
        <w:bidi/>
        <w:spacing w:after="80"/>
        <w:jc w:val="right"/>
      </w:pPr>
      <w:r>
        <w:rPr>
          <w:rFonts w:ascii="Arial" w:cs="Arial" w:eastAsia="Arial" w:hAnsi="Arial"/>
          <w:color w:val="1A1A1A"/>
          <w:sz w:val="22"/>
          <w:szCs w:val="22"/>
        </w:rPr>
        <w:t xml:space="preserve">تُطحن كل خامة منفردة حتى حجم جسيمات 0.5–2 مم.</w:t>
      </w:r>
    </w:p>
    <w:p>
      <w:pPr>
        <w:pStyle w:val="ListParagraph"/>
        <w:numPr>
          <w:ilvl w:val="0"/>
          <w:numId w:val="2"/>
        </w:numPr>
        <w:bidi/>
        <w:spacing w:after="80"/>
        <w:jc w:val="right"/>
      </w:pPr>
      <w:r>
        <w:rPr>
          <w:rFonts w:ascii="Arial" w:cs="Arial" w:eastAsia="Arial" w:hAnsi="Arial"/>
          <w:color w:val="1A1A1A"/>
          <w:sz w:val="22"/>
          <w:szCs w:val="22"/>
        </w:rPr>
        <w:t xml:space="preserve">يُخلط الطحين بالنسب الذهبية في خلاط ريشي (Ribbon Blender) لمدة 20–30 دقيقة حتى التجانس الكامل.</w:t>
      </w:r>
    </w:p>
    <w:p>
      <w:pPr>
        <w:bidi/>
        <w:spacing w:after="60" w:before="160"/>
      </w:pPr>
      <w:r>
        <w:rPr>
          <w:rFonts w:ascii="Arial" w:cs="Arial" w:eastAsia="Arial" w:hAnsi="Arial"/>
          <w:b/>
          <w:bCs/>
          <w:color w:val="1F4E79"/>
          <w:sz w:val="24"/>
          <w:szCs w:val="24"/>
        </w:rPr>
        <w:t xml:space="preserve">المرحلة الثانية: الغمر الكيميائي — محلول حمض الستريك</w:t>
      </w:r>
    </w:p>
    <w:p>
      <w:pPr>
        <w:pStyle w:val="ListParagraph"/>
        <w:numPr>
          <w:ilvl w:val="0"/>
          <w:numId w:val="2"/>
        </w:numPr>
        <w:bidi/>
        <w:spacing w:after="80"/>
        <w:jc w:val="right"/>
      </w:pPr>
      <w:r>
        <w:rPr>
          <w:rFonts w:ascii="Arial" w:cs="Arial" w:eastAsia="Arial" w:hAnsi="Arial"/>
          <w:color w:val="1A1A1A"/>
          <w:sz w:val="22"/>
          <w:szCs w:val="22"/>
        </w:rPr>
        <w:t xml:space="preserve">يُحضَّر محلول حمض الستريك (Citric Acid) بتركيز 10–15% وزن/حجم في ماء نظيف.</w:t>
      </w:r>
    </w:p>
    <w:p>
      <w:pPr>
        <w:pStyle w:val="ListParagraph"/>
        <w:numPr>
          <w:ilvl w:val="0"/>
          <w:numId w:val="2"/>
        </w:numPr>
        <w:bidi/>
        <w:spacing w:after="80"/>
        <w:jc w:val="right"/>
      </w:pPr>
      <w:r>
        <w:rPr>
          <w:rFonts w:ascii="Arial" w:cs="Arial" w:eastAsia="Arial" w:hAnsi="Arial"/>
          <w:color w:val="1A1A1A"/>
          <w:sz w:val="22"/>
          <w:szCs w:val="22"/>
        </w:rPr>
        <w:t xml:space="preserve">يُغمر الخليط المطحون بنسبة 3 لترات لكل كيلوغرام خليط، ويُترك 12–16 ساعة في درجة حرارة الغرفة.</w:t>
      </w:r>
    </w:p>
    <w:p>
      <w:pPr>
        <w:pBdr>
          <w:top w:val="single" w:color="FFC000" w:sz="4"/>
          <w:left w:val="single" w:color="FFC000" w:sz="4"/>
          <w:bottom w:val="single" w:color="FFC000" w:sz="4"/>
          <w:right w:val="single" w:color="FFC000" w:sz="12"/>
        </w:pBdr>
        <w:shd w:fill="FFFBF0" w:val="clear"/>
        <w:bidi/>
        <w:spacing w:after="120" w:before="120"/>
        <w:jc w:val="right"/>
      </w:pPr>
      <w:r>
        <w:rPr>
          <w:rFonts w:ascii="Arial" w:cs="Arial" w:eastAsia="Arial" w:hAnsi="Arial"/>
          <w:i/>
          <w:iCs/>
          <w:color w:val="7F4F00"/>
          <w:sz w:val="20"/>
          <w:szCs w:val="20"/>
        </w:rPr>
        <w:t xml:space="preserve">⚠  وظيفة هذه المرحلة: حمض الستريك يفتح المسام السطحية ويُزيل المعادن الزائدة ويُقلل السيليكا الضارة في قش الأرز، مما يرفع كفاءة الكربون النهائي بنسبة 20–30%.</w:t>
      </w:r>
    </w:p>
    <w:p>
      <w:pPr>
        <w:bidi/>
        <w:spacing w:after="60" w:before="160"/>
      </w:pPr>
      <w:r>
        <w:rPr>
          <w:rFonts w:ascii="Arial" w:cs="Arial" w:eastAsia="Arial" w:hAnsi="Arial"/>
          <w:b/>
          <w:bCs/>
          <w:color w:val="1F4E79"/>
          <w:sz w:val="24"/>
          <w:szCs w:val="24"/>
        </w:rPr>
        <w:t xml:space="preserve">المرحلة الثالثة: الغسيل والغمر الحيوي — الماء الطبيعي</w:t>
      </w:r>
    </w:p>
    <w:p>
      <w:pPr>
        <w:pStyle w:val="ListParagraph"/>
        <w:numPr>
          <w:ilvl w:val="0"/>
          <w:numId w:val="2"/>
        </w:numPr>
        <w:bidi/>
        <w:spacing w:after="80"/>
        <w:jc w:val="right"/>
      </w:pPr>
      <w:r>
        <w:rPr>
          <w:rFonts w:ascii="Arial" w:cs="Arial" w:eastAsia="Arial" w:hAnsi="Arial"/>
          <w:color w:val="1A1A1A"/>
          <w:sz w:val="22"/>
          <w:szCs w:val="22"/>
        </w:rPr>
        <w:t xml:space="preserve">يُصفَّى الخليط ويُغسل ثلاث مرات بماء نظيف لإزالة فائض الحمض.</w:t>
      </w:r>
    </w:p>
    <w:p>
      <w:pPr>
        <w:pStyle w:val="ListParagraph"/>
        <w:numPr>
          <w:ilvl w:val="0"/>
          <w:numId w:val="2"/>
        </w:numPr>
        <w:bidi/>
        <w:spacing w:after="80"/>
        <w:jc w:val="right"/>
      </w:pPr>
      <w:r>
        <w:rPr>
          <w:rFonts w:ascii="Arial" w:cs="Arial" w:eastAsia="Arial" w:hAnsi="Arial"/>
          <w:color w:val="1A1A1A"/>
          <w:sz w:val="22"/>
          <w:szCs w:val="22"/>
        </w:rPr>
        <w:t xml:space="preserve">يُغمر مجدداً في ماء طبيعي نظيف لمدة 3–4 ساعات، ثم يُصفَّى ويُترك للتصريف الطبيعي.</w:t>
      </w:r>
    </w:p>
    <w:p>
      <w:pPr>
        <w:pBdr>
          <w:top w:val="single" w:color="FFC000" w:sz="4"/>
          <w:left w:val="single" w:color="FFC000" w:sz="4"/>
          <w:bottom w:val="single" w:color="FFC000" w:sz="4"/>
          <w:right w:val="single" w:color="FFC000" w:sz="12"/>
        </w:pBdr>
        <w:shd w:fill="FFFBF0" w:val="clear"/>
        <w:bidi/>
        <w:spacing w:after="120" w:before="120"/>
        <w:jc w:val="right"/>
      </w:pPr>
      <w:r>
        <w:rPr>
          <w:rFonts w:ascii="Arial" w:cs="Arial" w:eastAsia="Arial" w:hAnsi="Arial"/>
          <w:i/>
          <w:iCs/>
          <w:color w:val="7F4F00"/>
          <w:sz w:val="20"/>
          <w:szCs w:val="20"/>
        </w:rPr>
        <w:t xml:space="preserve">⚠  وظيفة هذه المرحلة: استكمال التنشيط الطبيعي عبر الأيونات المعدنية الموجودة في الماء الطبيعي، وهو ما يمنح المنتج بصمته الجيوكيميائية الفريدة.</w:t>
      </w:r>
    </w:p>
    <w:p>
      <w:pPr>
        <w:bidi/>
        <w:spacing w:after="60" w:before="160"/>
      </w:pPr>
      <w:r>
        <w:rPr>
          <w:rFonts w:ascii="Arial" w:cs="Arial" w:eastAsia="Arial" w:hAnsi="Arial"/>
          <w:b/>
          <w:bCs/>
          <w:color w:val="1F4E79"/>
          <w:sz w:val="24"/>
          <w:szCs w:val="24"/>
        </w:rPr>
        <w:t xml:space="preserve">المرحلة الرابعة: التجفيف النهائي</w:t>
      </w:r>
    </w:p>
    <w:p>
      <w:pPr>
        <w:pStyle w:val="ListParagraph"/>
        <w:numPr>
          <w:ilvl w:val="0"/>
          <w:numId w:val="2"/>
        </w:numPr>
        <w:bidi/>
        <w:spacing w:after="80"/>
        <w:jc w:val="right"/>
      </w:pPr>
      <w:r>
        <w:rPr>
          <w:rFonts w:ascii="Arial" w:cs="Arial" w:eastAsia="Arial" w:hAnsi="Arial"/>
          <w:color w:val="1A1A1A"/>
          <w:sz w:val="22"/>
          <w:szCs w:val="22"/>
        </w:rPr>
        <w:t xml:space="preserve">يُجفَّف الخليط المُعالج بالطاقة الشمسية (48–72 ساعة) أو في فرن عند 105°C حتى ثبات الوزن.</w:t>
      </w:r>
    </w:p>
    <w:p>
      <w:pPr>
        <w:pStyle w:val="ListParagraph"/>
        <w:numPr>
          <w:ilvl w:val="0"/>
          <w:numId w:val="2"/>
        </w:numPr>
        <w:bidi/>
        <w:spacing w:after="80"/>
        <w:jc w:val="right"/>
      </w:pPr>
      <w:r>
        <w:rPr>
          <w:rFonts w:ascii="Arial" w:cs="Arial" w:eastAsia="Arial" w:hAnsi="Arial"/>
          <w:color w:val="1A1A1A"/>
          <w:sz w:val="22"/>
          <w:szCs w:val="22"/>
        </w:rPr>
        <w:t xml:space="preserve">يجب أن تصل الرطوبة إلى ما دون 5% قبل الانتقال لمرحلة التفحيم.</w:t>
      </w:r>
    </w:p>
    <w:p>
      <w:pPr>
        <w:bidi/>
        <w:spacing w:after="60" w:before="160"/>
      </w:pPr>
      <w:r>
        <w:rPr>
          <w:rFonts w:ascii="Arial" w:cs="Arial" w:eastAsia="Arial" w:hAnsi="Arial"/>
          <w:b/>
          <w:bCs/>
          <w:color w:val="1F4E79"/>
          <w:sz w:val="24"/>
          <w:szCs w:val="24"/>
        </w:rPr>
        <w:t xml:space="preserve">المرحلة الخامسة: التفحيم المتدرج (Slow Pyrolysis)</w:t>
      </w:r>
    </w:p>
    <w:p>
      <w:pPr>
        <w:bidi/>
        <w:spacing w:after="120"/>
        <w:jc w:val="right"/>
      </w:pPr>
      <w:r>
        <w:rPr>
          <w:rFonts w:ascii="Arial" w:cs="Arial" w:eastAsia="Arial" w:hAnsi="Arial"/>
          <w:color w:val="1A1A1A"/>
          <w:sz w:val="22"/>
          <w:szCs w:val="22"/>
        </w:rPr>
        <w:t xml:space="preserve">يُحمَّل الخليط الجاف في وعاء التفحيم مع تقليل مدخل الهواء إلى أدنى مستوى (جو شبه لاهوائي)، ويُطبَّق بروتوكول التسخين المتدرج الرباعي:</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560"/>
        <w:gridCol w:w="1700"/>
        <w:gridCol w:w="3400"/>
      </w:tblGrid>
      <w:tr>
        <w:trPr>
          <w:tblHeader/>
        </w:trPr>
        <w:tc>
          <w:tcPr>
            <w:tcW w:type="dxa" w:w="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المرحلة</w:t>
            </w:r>
          </w:p>
        </w:tc>
        <w:tc>
          <w:tcPr>
            <w:tcW w:type="dxa" w:w="1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النطاق الحراري</w:t>
            </w:r>
          </w:p>
        </w:tc>
        <w:tc>
          <w:tcPr>
            <w:tcW w:type="dxa" w:w="1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معدل الرفع</w:t>
            </w:r>
          </w:p>
        </w:tc>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المدة</w:t>
            </w:r>
          </w:p>
        </w:tc>
        <w:tc>
          <w:tcPr>
            <w:tcW w:type="dxa" w:w="3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الهدف</w:t>
            </w:r>
          </w:p>
        </w:tc>
      </w:tr>
      <w:tr>
        <w:tc>
          <w:tcPr>
            <w:tcW w:type="dxa" w:w="8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أ</w:t>
            </w:r>
          </w:p>
        </w:tc>
        <w:tc>
          <w:tcPr>
            <w:tcW w:type="dxa" w:w="19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25°C ← 280°C</w:t>
            </w:r>
          </w:p>
        </w:tc>
        <w:tc>
          <w:tcPr>
            <w:tcW w:type="dxa" w:w="15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5°C / دقيقة</w:t>
            </w:r>
          </w:p>
        </w:tc>
        <w:tc>
          <w:tcPr>
            <w:tcW w:type="dxa" w:w="17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~50 دقيقة</w:t>
            </w:r>
          </w:p>
        </w:tc>
        <w:tc>
          <w:tcPr>
            <w:tcW w:type="dxa" w:w="34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تفكيك الهيميسيليلوز بأمان</w:t>
            </w:r>
          </w:p>
        </w:tc>
      </w:tr>
      <w:tr>
        <w:tc>
          <w:tcPr>
            <w:tcW w:type="dxa" w:w="8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ب</w:t>
            </w:r>
          </w:p>
        </w:tc>
        <w:tc>
          <w:tcPr>
            <w:tcW w:type="dxa" w:w="19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280°C ← 500°C</w:t>
            </w:r>
          </w:p>
        </w:tc>
        <w:tc>
          <w:tcPr>
            <w:tcW w:type="dxa" w:w="156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8°C / دقيقة</w:t>
            </w:r>
          </w:p>
        </w:tc>
        <w:tc>
          <w:tcPr>
            <w:tcW w:type="dxa" w:w="17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~28 دقيقة</w:t>
            </w:r>
          </w:p>
        </w:tc>
        <w:tc>
          <w:tcPr>
            <w:tcW w:type="dxa" w:w="34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تفحيم السيليلوز الرئيسي</w:t>
            </w:r>
          </w:p>
        </w:tc>
      </w:tr>
      <w:tr>
        <w:tc>
          <w:tcPr>
            <w:tcW w:type="dxa" w:w="8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ج</w:t>
            </w:r>
          </w:p>
        </w:tc>
        <w:tc>
          <w:tcPr>
            <w:tcW w:type="dxa" w:w="19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500°C ← 550°C</w:t>
            </w:r>
          </w:p>
        </w:tc>
        <w:tc>
          <w:tcPr>
            <w:tcW w:type="dxa" w:w="15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5°C / دقيقة</w:t>
            </w:r>
          </w:p>
        </w:tc>
        <w:tc>
          <w:tcPr>
            <w:tcW w:type="dxa" w:w="17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~10 دقيقة</w:t>
            </w:r>
          </w:p>
        </w:tc>
        <w:tc>
          <w:tcPr>
            <w:tcW w:type="dxa" w:w="340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تفكيك اللجنين في النوى</w:t>
            </w:r>
          </w:p>
        </w:tc>
      </w:tr>
      <w:tr>
        <w:tc>
          <w:tcPr>
            <w:tcW w:type="dxa" w:w="8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د — Soak</w:t>
            </w:r>
          </w:p>
        </w:tc>
        <w:tc>
          <w:tcPr>
            <w:tcW w:type="dxa" w:w="19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550°C ثابتة</w:t>
            </w:r>
          </w:p>
        </w:tc>
        <w:tc>
          <w:tcPr>
            <w:tcW w:type="dxa" w:w="156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w:t>
            </w:r>
          </w:p>
        </w:tc>
        <w:tc>
          <w:tcPr>
            <w:tcW w:type="dxa" w:w="17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30–45 دقيقة</w:t>
            </w:r>
          </w:p>
        </w:tc>
        <w:tc>
          <w:tcPr>
            <w:tcW w:type="dxa" w:w="340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اكتمال التفحيم وتوحيد الجودة</w:t>
            </w:r>
          </w:p>
        </w:tc>
      </w:tr>
    </w:tbl>
    <w:p>
      <w:pPr>
        <w:spacing w:after="120"/>
      </w:pPr>
    </w:p>
    <w:p>
      <w:pPr>
        <w:pBdr>
          <w:top w:val="single" w:color="FFC000" w:sz="4"/>
          <w:left w:val="single" w:color="FFC000" w:sz="4"/>
          <w:bottom w:val="single" w:color="FFC000" w:sz="4"/>
          <w:right w:val="single" w:color="FFC000" w:sz="12"/>
        </w:pBdr>
        <w:shd w:fill="FFFBF0" w:val="clear"/>
        <w:bidi/>
        <w:spacing w:after="120" w:before="120"/>
        <w:jc w:val="right"/>
      </w:pPr>
      <w:r>
        <w:rPr>
          <w:rFonts w:ascii="Arial" w:cs="Arial" w:eastAsia="Arial" w:hAnsi="Arial"/>
          <w:i/>
          <w:iCs/>
          <w:color w:val="7F4F00"/>
          <w:sz w:val="20"/>
          <w:szCs w:val="20"/>
        </w:rPr>
        <w:t xml:space="preserve">⚠  في الإنتاج الميداني البسيط: يمكن تحقيق هذا النطاق الحراري بإغلاق وعاء التفحيم بمواد عازلة طبيعية (رمل ناشف + ليف نخل) مع التحكم في فتحات الهواء.</w:t>
      </w:r>
    </w:p>
    <w:p>
      <w:pPr>
        <w:bidi/>
        <w:spacing w:after="60" w:before="160"/>
      </w:pPr>
      <w:r>
        <w:rPr>
          <w:rFonts w:ascii="Arial" w:cs="Arial" w:eastAsia="Arial" w:hAnsi="Arial"/>
          <w:b/>
          <w:bCs/>
          <w:color w:val="1F4E79"/>
          <w:sz w:val="24"/>
          <w:szCs w:val="24"/>
        </w:rPr>
        <w:t xml:space="preserve">المرحلة السادسة: التبريد والمعالجة النهائية</w:t>
      </w:r>
    </w:p>
    <w:p>
      <w:pPr>
        <w:pStyle w:val="ListParagraph"/>
        <w:numPr>
          <w:ilvl w:val="0"/>
          <w:numId w:val="2"/>
        </w:numPr>
        <w:bidi/>
        <w:spacing w:after="80"/>
        <w:jc w:val="right"/>
      </w:pPr>
      <w:r>
        <w:rPr>
          <w:rFonts w:ascii="Arial" w:cs="Arial" w:eastAsia="Arial" w:hAnsi="Arial"/>
          <w:color w:val="1A1A1A"/>
          <w:sz w:val="22"/>
          <w:szCs w:val="22"/>
        </w:rPr>
        <w:t xml:space="preserve">يُترك المنتج يبرد تبريداً بطيئاً داخل وعاء التفحيم المغلق لمدة 4–6 ساعات (تبريد لاهوائي يمنع الأكسدة).</w:t>
      </w:r>
    </w:p>
    <w:p>
      <w:pPr>
        <w:pStyle w:val="ListParagraph"/>
        <w:numPr>
          <w:ilvl w:val="0"/>
          <w:numId w:val="2"/>
        </w:numPr>
        <w:bidi/>
        <w:spacing w:after="80"/>
        <w:jc w:val="right"/>
      </w:pPr>
      <w:r>
        <w:rPr>
          <w:rFonts w:ascii="Arial" w:cs="Arial" w:eastAsia="Arial" w:hAnsi="Arial"/>
          <w:color w:val="1A1A1A"/>
          <w:sz w:val="22"/>
          <w:szCs w:val="22"/>
        </w:rPr>
        <w:t xml:space="preserve">يُطحن المنتج للحجم المطلوب حسب التطبيق (0.1–2 مم للفلاتر — مسحوق للصناعة الدوائية).</w:t>
      </w:r>
    </w:p>
    <w:p>
      <w:pPr>
        <w:pStyle w:val="ListParagraph"/>
        <w:numPr>
          <w:ilvl w:val="0"/>
          <w:numId w:val="2"/>
        </w:numPr>
        <w:bidi/>
        <w:spacing w:after="80"/>
        <w:jc w:val="right"/>
      </w:pPr>
      <w:r>
        <w:rPr>
          <w:rFonts w:ascii="Arial" w:cs="Arial" w:eastAsia="Arial" w:hAnsi="Arial"/>
          <w:color w:val="1A1A1A"/>
          <w:sz w:val="22"/>
          <w:szCs w:val="22"/>
        </w:rPr>
        <w:t xml:space="preserve">يُغسل المنتج النهائي بماء محمّض قليلاً (pH 5–6) لإزالة الرماد السطحي، ثم يُجفَّف.</w:t>
      </w:r>
    </w:p>
    <w:p>
      <w:pPr>
        <w:pBdr>
          <w:bottom w:val="single" w:color="1F4E79" w:sz="6" w:space="4"/>
        </w:pBdr>
        <w:spacing w:after="120" w:before="320"/>
      </w:pPr>
      <w:r>
        <w:rPr>
          <w:rFonts w:ascii="Arial" w:cs="Arial" w:eastAsia="Arial" w:hAnsi="Arial"/>
          <w:b/>
          <w:bCs/>
          <w:color w:val="1F4E79"/>
          <w:sz w:val="26"/>
          <w:szCs w:val="26"/>
        </w:rPr>
        <w:t xml:space="preserve">سادساً  المطالبات — نطاق الحماية القانونية</w:t>
      </w:r>
    </w:p>
    <w:p>
      <w:pPr>
        <w:bidi/>
        <w:spacing w:after="80" w:before="160"/>
      </w:pPr>
      <w:r>
        <w:rPr>
          <w:rFonts w:ascii="Arial" w:cs="Arial" w:eastAsia="Arial" w:hAnsi="Arial"/>
          <w:b/>
          <w:bCs/>
          <w:color w:val="1F4E79"/>
          <w:sz w:val="24"/>
          <w:szCs w:val="24"/>
          <w:u w:val="single"/>
        </w:rPr>
        <w:t xml:space="preserve">المطالبة الرئيسية [1]</w:t>
      </w:r>
    </w:p>
    <w:p>
      <w:pPr>
        <w:bidi/>
        <w:spacing w:after="120"/>
        <w:jc w:val="right"/>
      </w:pPr>
      <w:r>
        <w:rPr>
          <w:rFonts w:ascii="Arial" w:cs="Arial" w:eastAsia="Arial" w:hAnsi="Arial"/>
          <w:color w:val="1A1A1A"/>
          <w:sz w:val="22"/>
          <w:szCs w:val="22"/>
        </w:rPr>
        <w:t xml:space="preserve">طريقة إنتاج كربون نشط تتميز بأنها تشتمل على المراحل التالية بالتسلسل:</w:t>
      </w:r>
    </w:p>
    <w:p>
      <w:pPr>
        <w:pStyle w:val="ListParagraph"/>
        <w:numPr>
          <w:ilvl w:val="0"/>
          <w:numId w:val="2"/>
        </w:numPr>
        <w:bidi/>
        <w:spacing w:after="80"/>
        <w:jc w:val="right"/>
      </w:pPr>
      <w:r>
        <w:rPr>
          <w:rFonts w:ascii="Arial" w:cs="Arial" w:eastAsia="Arial" w:hAnsi="Arial"/>
          <w:color w:val="1A1A1A"/>
          <w:sz w:val="22"/>
          <w:szCs w:val="22"/>
        </w:rPr>
        <w:t xml:space="preserve">خلط خمسة مخلفات زراعية بنسب محددة: نوى زيتون (40% ± 3%)، نوى بلح (25% ± 3%)، زعف نخل مفروم (15% ± 2%)، ورد نيل مجفف (12% ± 2%)، قش أرز (8% ± 2%)؛</w:t>
      </w:r>
    </w:p>
    <w:p>
      <w:pPr>
        <w:pStyle w:val="ListParagraph"/>
        <w:numPr>
          <w:ilvl w:val="0"/>
          <w:numId w:val="2"/>
        </w:numPr>
        <w:bidi/>
        <w:spacing w:after="80"/>
        <w:jc w:val="right"/>
      </w:pPr>
      <w:r>
        <w:rPr>
          <w:rFonts w:ascii="Arial" w:cs="Arial" w:eastAsia="Arial" w:hAnsi="Arial"/>
          <w:color w:val="1A1A1A"/>
          <w:sz w:val="22"/>
          <w:szCs w:val="22"/>
        </w:rPr>
        <w:t xml:space="preserve">غمر الخليط في محلول حمض الستريك 10–15% لمدة 12–16 ساعة في درجة حرارة الغرفة؛</w:t>
      </w:r>
    </w:p>
    <w:p>
      <w:pPr>
        <w:pStyle w:val="ListParagraph"/>
        <w:numPr>
          <w:ilvl w:val="0"/>
          <w:numId w:val="2"/>
        </w:numPr>
        <w:bidi/>
        <w:spacing w:after="80"/>
        <w:jc w:val="right"/>
      </w:pPr>
      <w:r>
        <w:rPr>
          <w:rFonts w:ascii="Arial" w:cs="Arial" w:eastAsia="Arial" w:hAnsi="Arial"/>
          <w:color w:val="1A1A1A"/>
          <w:sz w:val="22"/>
          <w:szCs w:val="22"/>
        </w:rPr>
        <w:t xml:space="preserve">تصفية الخليط وغسله ثلاثاً بماء نظيف، ثم إعادة غمره في ماء طبيعي لمدة 3–4 ساعات؛</w:t>
      </w:r>
    </w:p>
    <w:p>
      <w:pPr>
        <w:pStyle w:val="ListParagraph"/>
        <w:numPr>
          <w:ilvl w:val="0"/>
          <w:numId w:val="2"/>
        </w:numPr>
        <w:bidi/>
        <w:spacing w:after="80"/>
        <w:jc w:val="right"/>
      </w:pPr>
      <w:r>
        <w:rPr>
          <w:rFonts w:ascii="Arial" w:cs="Arial" w:eastAsia="Arial" w:hAnsi="Arial"/>
          <w:color w:val="1A1A1A"/>
          <w:sz w:val="22"/>
          <w:szCs w:val="22"/>
        </w:rPr>
        <w:t xml:space="preserve">تجفيف الخليط حتى رطوبة أقل من 5%؛</w:t>
      </w:r>
    </w:p>
    <w:p>
      <w:pPr>
        <w:pStyle w:val="ListParagraph"/>
        <w:numPr>
          <w:ilvl w:val="0"/>
          <w:numId w:val="2"/>
        </w:numPr>
        <w:bidi/>
        <w:spacing w:after="80"/>
        <w:jc w:val="right"/>
      </w:pPr>
      <w:r>
        <w:rPr>
          <w:rFonts w:ascii="Arial" w:cs="Arial" w:eastAsia="Arial" w:hAnsi="Arial"/>
          <w:color w:val="1A1A1A"/>
          <w:sz w:val="22"/>
          <w:szCs w:val="22"/>
        </w:rPr>
        <w:t xml:space="preserve">تفحيمه بالتسخين المتدرج في جو شبه لاهوائي وفق البروتوكول الرباعي من 25°C إلى 550°C؛</w:t>
      </w:r>
    </w:p>
    <w:p>
      <w:pPr>
        <w:pStyle w:val="ListParagraph"/>
        <w:numPr>
          <w:ilvl w:val="0"/>
          <w:numId w:val="2"/>
        </w:numPr>
        <w:bidi/>
        <w:spacing w:after="80"/>
        <w:jc w:val="right"/>
      </w:pPr>
      <w:r>
        <w:rPr>
          <w:rFonts w:ascii="Arial" w:cs="Arial" w:eastAsia="Arial" w:hAnsi="Arial"/>
          <w:color w:val="1A1A1A"/>
          <w:sz w:val="22"/>
          <w:szCs w:val="22"/>
        </w:rPr>
        <w:t xml:space="preserve">تبريده لاهوائياً ثم طحنه وغسله بماء pH 5–6.</w:t>
      </w:r>
    </w:p>
    <w:p>
      <w:pPr>
        <w:bidi/>
        <w:spacing w:after="120"/>
        <w:jc w:val="right"/>
      </w:pPr>
      <w:r>
        <w:rPr>
          <w:rFonts w:ascii="Arial" w:cs="Arial" w:eastAsia="Arial" w:hAnsi="Arial"/>
          <w:color w:val="1A1A1A"/>
          <w:sz w:val="22"/>
          <w:szCs w:val="22"/>
        </w:rPr>
        <w:t xml:space="preserve">بحيث ينتج عن هذه الطريقة مجتمعةً كربون نشط ذو توزيع مسامي ثنائي النمط (Bimodal Pore Distribution) بمؤشر يود لا يقل عن 700 mg/g.</w:t>
      </w:r>
    </w:p>
    <w:p>
      <w:pPr>
        <w:bidi/>
        <w:spacing w:after="40" w:before="160"/>
      </w:pPr>
      <w:r>
        <w:rPr>
          <w:rFonts w:ascii="Arial" w:cs="Arial" w:eastAsia="Arial" w:hAnsi="Arial"/>
          <w:b/>
          <w:bCs/>
          <w:color w:val="1F4E79"/>
          <w:sz w:val="24"/>
          <w:szCs w:val="24"/>
        </w:rPr>
        <w:t xml:space="preserve">المطالبات الفرعية</w:t>
      </w:r>
    </w:p>
    <w:p>
      <w:pPr>
        <w:bidi/>
        <w:spacing w:after="80" w:before="80"/>
        <w:ind w:right="440"/>
        <w:jc w:val="right"/>
      </w:pPr>
      <w:r>
        <w:rPr>
          <w:rFonts w:ascii="Arial" w:cs="Arial" w:eastAsia="Arial" w:hAnsi="Arial"/>
          <w:b/>
          <w:bCs/>
          <w:color w:val="1F4E79"/>
          <w:sz w:val="22"/>
          <w:szCs w:val="22"/>
        </w:rPr>
        <w:t xml:space="preserve">[2]  </w:t>
      </w:r>
      <w:r>
        <w:rPr>
          <w:rFonts w:ascii="Arial" w:cs="Arial" w:eastAsia="Arial" w:hAnsi="Arial"/>
          <w:color w:val="1A1A1A"/>
          <w:sz w:val="22"/>
          <w:szCs w:val="22"/>
        </w:rPr>
        <w:t xml:space="preserve">تركيبة الخامات الخمسة بالنسب المحددة في المطالبة [1]، بصرف النظر عن طريقة التنشيط المستخدمة.</w:t>
      </w:r>
    </w:p>
    <w:p>
      <w:pPr>
        <w:bidi/>
        <w:spacing w:after="80" w:before="80"/>
        <w:ind w:right="440"/>
        <w:jc w:val="right"/>
      </w:pPr>
      <w:r>
        <w:rPr>
          <w:rFonts w:ascii="Arial" w:cs="Arial" w:eastAsia="Arial" w:hAnsi="Arial"/>
          <w:b/>
          <w:bCs/>
          <w:color w:val="1F4E79"/>
          <w:sz w:val="22"/>
          <w:szCs w:val="22"/>
        </w:rPr>
        <w:t xml:space="preserve">[3]  </w:t>
      </w:r>
      <w:r>
        <w:rPr>
          <w:rFonts w:ascii="Arial" w:cs="Arial" w:eastAsia="Arial" w:hAnsi="Arial"/>
          <w:color w:val="1A1A1A"/>
          <w:sz w:val="22"/>
          <w:szCs w:val="22"/>
        </w:rPr>
        <w:t xml:space="preserve">بروتوكول الغمر المزدوج (حمض ستريك 10–15% ثم ماء طبيعي) بالأوقات والنسب المحددة في المطالبة [1]، لتحضير أي كتلة حيوية للتفحيم.</w:t>
      </w:r>
    </w:p>
    <w:p>
      <w:pPr>
        <w:bidi/>
        <w:spacing w:after="80" w:before="80"/>
        <w:ind w:right="440"/>
        <w:jc w:val="right"/>
      </w:pPr>
      <w:r>
        <w:rPr>
          <w:rFonts w:ascii="Arial" w:cs="Arial" w:eastAsia="Arial" w:hAnsi="Arial"/>
          <w:b/>
          <w:bCs/>
          <w:color w:val="1F4E79"/>
          <w:sz w:val="22"/>
          <w:szCs w:val="22"/>
        </w:rPr>
        <w:t xml:space="preserve">[4]  </w:t>
      </w:r>
      <w:r>
        <w:rPr>
          <w:rFonts w:ascii="Arial" w:cs="Arial" w:eastAsia="Arial" w:hAnsi="Arial"/>
          <w:color w:val="1A1A1A"/>
          <w:sz w:val="22"/>
          <w:szCs w:val="22"/>
        </w:rPr>
        <w:t xml:space="preserve">بروتوكول التسخين المتدرج الرباعي المحدد في المرحلة الخامسة من المطالبة [1]، مُطبَّقاً على أي خليط من المخلفات الزراعية.</w:t>
      </w:r>
    </w:p>
    <w:p>
      <w:pPr>
        <w:bidi/>
        <w:spacing w:after="80" w:before="80"/>
        <w:ind w:right="440"/>
        <w:jc w:val="right"/>
      </w:pPr>
      <w:r>
        <w:rPr>
          <w:rFonts w:ascii="Arial" w:cs="Arial" w:eastAsia="Arial" w:hAnsi="Arial"/>
          <w:b/>
          <w:bCs/>
          <w:color w:val="1F4E79"/>
          <w:sz w:val="22"/>
          <w:szCs w:val="22"/>
        </w:rPr>
        <w:t xml:space="preserve">[5]  </w:t>
      </w:r>
      <w:r>
        <w:rPr>
          <w:rFonts w:ascii="Arial" w:cs="Arial" w:eastAsia="Arial" w:hAnsi="Arial"/>
          <w:color w:val="1A1A1A"/>
          <w:sz w:val="22"/>
          <w:szCs w:val="22"/>
        </w:rPr>
        <w:t xml:space="preserve">استخدام المنتج الناتج عن المطالبة [1] في معالجة المياه وامتصاص المعادن الثقيلة والملوثات العضوية.</w:t>
      </w:r>
    </w:p>
    <w:p>
      <w:pPr>
        <w:bidi/>
        <w:spacing w:after="80" w:before="80"/>
        <w:ind w:right="440"/>
        <w:jc w:val="right"/>
      </w:pPr>
      <w:r>
        <w:rPr>
          <w:rFonts w:ascii="Arial" w:cs="Arial" w:eastAsia="Arial" w:hAnsi="Arial"/>
          <w:b/>
          <w:bCs/>
          <w:color w:val="1F4E79"/>
          <w:sz w:val="22"/>
          <w:szCs w:val="22"/>
        </w:rPr>
        <w:t xml:space="preserve">[6]  </w:t>
      </w:r>
      <w:r>
        <w:rPr>
          <w:rFonts w:ascii="Arial" w:cs="Arial" w:eastAsia="Arial" w:hAnsi="Arial"/>
          <w:color w:val="1A1A1A"/>
          <w:sz w:val="22"/>
          <w:szCs w:val="22"/>
        </w:rPr>
        <w:t xml:space="preserve">أي تركيبة تجمع ثلاثاً أو أكثر من الخامات الخمسة المذكورة في المطالبة [1] ضمن نطاق ±5% من النسب المحددة، مع تطبيق بروتوكول الغمر المزدوج والتفحيم المتدرج الوارد في المطالبة ذاتها.</w:t>
      </w:r>
    </w:p>
    <w:p>
      <w:pPr>
        <w:pBdr>
          <w:top w:val="single" w:color="FFC000" w:sz="4"/>
          <w:left w:val="single" w:color="FFC000" w:sz="4"/>
          <w:bottom w:val="single" w:color="FFC000" w:sz="4"/>
          <w:right w:val="single" w:color="FFC000" w:sz="12"/>
        </w:pBdr>
        <w:shd w:fill="FFFBF0" w:val="clear"/>
        <w:bidi/>
        <w:spacing w:after="120" w:before="120"/>
        <w:jc w:val="right"/>
      </w:pPr>
      <w:r>
        <w:rPr>
          <w:rFonts w:ascii="Arial" w:cs="Arial" w:eastAsia="Arial" w:hAnsi="Arial"/>
          <w:i/>
          <w:iCs/>
          <w:color w:val="7F4F00"/>
          <w:sz w:val="20"/>
          <w:szCs w:val="20"/>
        </w:rPr>
        <w:t xml:space="preserve">⚠  ملاحظة: المطالبات الفرعية [2] إلى [6] تعتمد على ومُكمِّلة للمطالبة الرئيسية [1] وليست مستقلة عنها.</w:t>
      </w:r>
    </w:p>
    <w:p>
      <w:pPr>
        <w:pBdr>
          <w:bottom w:val="single" w:color="1F4E79" w:sz="6" w:space="4"/>
        </w:pBdr>
        <w:spacing w:after="120" w:before="320"/>
      </w:pPr>
      <w:r>
        <w:rPr>
          <w:rFonts w:ascii="Arial" w:cs="Arial" w:eastAsia="Arial" w:hAnsi="Arial"/>
          <w:b/>
          <w:bCs/>
          <w:color w:val="1F4E79"/>
          <w:sz w:val="26"/>
          <w:szCs w:val="26"/>
        </w:rPr>
        <w:t xml:space="preserve">سابعاً  الدليل العملي على الاختراع</w:t>
      </w:r>
    </w:p>
    <w:p>
      <w:pPr>
        <w:bidi/>
        <w:spacing w:after="120"/>
        <w:jc w:val="right"/>
      </w:pPr>
      <w:r>
        <w:rPr>
          <w:rFonts w:ascii="Arial" w:cs="Arial" w:eastAsia="Arial" w:hAnsi="Arial"/>
          <w:color w:val="1A1A1A"/>
          <w:sz w:val="22"/>
          <w:szCs w:val="22"/>
        </w:rPr>
        <w:t xml:space="preserve">أثبت المخترع جدوى هذا الاختراع وإمكانية تطبيقه الصناعي (Industrial Applicability) في تجربة ميدانية فعلية خلال أزمة كوفيد-19 عام 2020 في المملكة العربية السعودية، حيث:</w:t>
      </w:r>
    </w:p>
    <w:p>
      <w:pPr>
        <w:pStyle w:val="ListParagraph"/>
        <w:numPr>
          <w:ilvl w:val="0"/>
          <w:numId w:val="2"/>
        </w:numPr>
        <w:bidi/>
        <w:spacing w:after="80"/>
        <w:jc w:val="right"/>
      </w:pPr>
      <w:r>
        <w:rPr>
          <w:rFonts w:ascii="Arial" w:cs="Arial" w:eastAsia="Arial" w:hAnsi="Arial"/>
          <w:color w:val="1A1A1A"/>
          <w:sz w:val="22"/>
          <w:szCs w:val="22"/>
        </w:rPr>
        <w:t xml:space="preserve">أُنتج الكربون النشط في ظروف ميدانية بدائية (براميل معدنية في موقع مفتوح) مما يُثبت عملية الاختراع بأبسط الإمكانيات.</w:t>
      </w:r>
    </w:p>
    <w:p>
      <w:pPr>
        <w:pStyle w:val="ListParagraph"/>
        <w:numPr>
          <w:ilvl w:val="0"/>
          <w:numId w:val="2"/>
        </w:numPr>
        <w:bidi/>
        <w:spacing w:after="80"/>
        <w:jc w:val="right"/>
      </w:pPr>
      <w:r>
        <w:rPr>
          <w:rFonts w:ascii="Arial" w:cs="Arial" w:eastAsia="Arial" w:hAnsi="Arial"/>
          <w:color w:val="1A1A1A"/>
          <w:sz w:val="22"/>
          <w:szCs w:val="22"/>
        </w:rPr>
        <w:t xml:space="preserve">تجاوز المنتج في جودته الكربون النشط الهندي المستورد وفق شهادة العميل الفعلي الموثقة.</w:t>
      </w:r>
    </w:p>
    <w:p>
      <w:pPr>
        <w:pStyle w:val="ListParagraph"/>
        <w:numPr>
          <w:ilvl w:val="0"/>
          <w:numId w:val="2"/>
        </w:numPr>
        <w:bidi/>
        <w:spacing w:after="80"/>
        <w:jc w:val="right"/>
      </w:pPr>
      <w:r>
        <w:rPr>
          <w:rFonts w:ascii="Arial" w:cs="Arial" w:eastAsia="Arial" w:hAnsi="Arial"/>
          <w:color w:val="1A1A1A"/>
          <w:sz w:val="22"/>
          <w:szCs w:val="22"/>
        </w:rPr>
        <w:t xml:space="preserve">أفضى الاستخدام الناجح إلى طلب وكالة تجارية رسمية بعد عام كامل من التطبيق الميداني المستمر.</w:t>
      </w:r>
    </w:p>
    <w:p>
      <w:pPr>
        <w:pStyle w:val="ListParagraph"/>
        <w:numPr>
          <w:ilvl w:val="0"/>
          <w:numId w:val="2"/>
        </w:numPr>
        <w:bidi/>
        <w:spacing w:after="80"/>
        <w:jc w:val="right"/>
      </w:pPr>
      <w:r>
        <w:rPr>
          <w:rFonts w:ascii="Arial" w:cs="Arial" w:eastAsia="Arial" w:hAnsi="Arial"/>
          <w:color w:val="1A1A1A"/>
          <w:sz w:val="22"/>
          <w:szCs w:val="22"/>
        </w:rPr>
        <w:t xml:space="preserve">استُخدم المنتج في تحسين جودة المياه في محطات ومسابح الشركة بنتائج قابلة للقياس.</w:t>
      </w:r>
    </w:p>
    <w:p>
      <w:pPr>
        <w:pBdr>
          <w:top w:val="single" w:color="FFC000" w:sz="4"/>
          <w:left w:val="single" w:color="FFC000" w:sz="4"/>
          <w:bottom w:val="single" w:color="FFC000" w:sz="4"/>
          <w:right w:val="single" w:color="FFC000" w:sz="12"/>
        </w:pBdr>
        <w:shd w:fill="FFFBF0" w:val="clear"/>
        <w:bidi/>
        <w:spacing w:after="120" w:before="120"/>
        <w:jc w:val="right"/>
      </w:pPr>
      <w:r>
        <w:rPr>
          <w:rFonts w:ascii="Arial" w:cs="Arial" w:eastAsia="Arial" w:hAnsi="Arial"/>
          <w:i/>
          <w:iCs/>
          <w:color w:val="7F4F00"/>
          <w:sz w:val="20"/>
          <w:szCs w:val="20"/>
        </w:rPr>
        <w:t xml:space="preserve">⚠  الوثائق الداعمة — ملحق (أ): تتضمن توثيق التجربة الميدانية وشهادة العميل وطلب الوكالة التجارية، وتُقدَّم رفقة هذا الطلب أو عند الطلب.</w:t>
      </w:r>
    </w:p>
    <w:p>
      <w:pPr>
        <w:pBdr>
          <w:bottom w:val="single" w:color="1F4E79" w:sz="6" w:space="4"/>
        </w:pBdr>
        <w:spacing w:after="120" w:before="320"/>
      </w:pPr>
      <w:r>
        <w:rPr>
          <w:rFonts w:ascii="Arial" w:cs="Arial" w:eastAsia="Arial" w:hAnsi="Arial"/>
          <w:b/>
          <w:bCs/>
          <w:color w:val="1F4E79"/>
          <w:sz w:val="26"/>
          <w:szCs w:val="26"/>
        </w:rPr>
        <w:t xml:space="preserve">ثامناً  المزايا التقنية والاقتصادية للاختراع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الميزة</w:t>
            </w:r>
          </w:p>
        </w:tc>
        <w:tc>
          <w:tcPr>
            <w:tcW w:type="dxa" w:w="67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التفاصيل</w:t>
            </w:r>
          </w:p>
        </w:tc>
      </w:tr>
      <w:tr>
        <w:tc>
          <w:tcPr>
            <w:tcW w:type="dxa" w:w="26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جودة المنتج</w:t>
            </w:r>
          </w:p>
        </w:tc>
        <w:tc>
          <w:tcPr>
            <w:tcW w:type="dxa" w:w="67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Iodine Number متوقع 700–850 mg/g — يتجاوز المعيار الدولي Grade B (500+)</w:t>
            </w:r>
          </w:p>
        </w:tc>
      </w:tr>
      <w:tr>
        <w:tc>
          <w:tcPr>
            <w:tcW w:type="dxa" w:w="26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التوزيع المسامي</w:t>
            </w:r>
          </w:p>
        </w:tc>
        <w:tc>
          <w:tcPr>
            <w:tcW w:type="dxa" w:w="676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Bimodal — Micropores من النوى + Mesopores من القش والزعف</w:t>
            </w:r>
          </w:p>
        </w:tc>
      </w:tr>
      <w:tr>
        <w:tc>
          <w:tcPr>
            <w:tcW w:type="dxa" w:w="26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تكلفة الخامات</w:t>
            </w:r>
          </w:p>
        </w:tc>
        <w:tc>
          <w:tcPr>
            <w:tcW w:type="dxa" w:w="67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شبه صفر — مخلفات زراعية مُهدرة أو مشكلة بيئية قائمة</w:t>
            </w:r>
          </w:p>
        </w:tc>
      </w:tr>
      <w:tr>
        <w:tc>
          <w:tcPr>
            <w:tcW w:type="dxa" w:w="26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الأثر البيئي</w:t>
            </w:r>
          </w:p>
        </w:tc>
        <w:tc>
          <w:tcPr>
            <w:tcW w:type="dxa" w:w="676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يحل 5 مشكلات بيئية في آنٍ واحد (حرق القش، ورد النيل، وغيرها)</w:t>
            </w:r>
          </w:p>
        </w:tc>
      </w:tr>
      <w:tr>
        <w:tc>
          <w:tcPr>
            <w:tcW w:type="dxa" w:w="26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الأمن القومي</w:t>
            </w:r>
          </w:p>
        </w:tc>
        <w:tc>
          <w:tcPr>
            <w:tcW w:type="dxa" w:w="67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يوقف استيراد ما قيمته 15–20 مليون دولار سنوياً</w:t>
            </w:r>
          </w:p>
        </w:tc>
      </w:tr>
      <w:tr>
        <w:tc>
          <w:tcPr>
            <w:tcW w:type="dxa" w:w="2600"/>
            <w:tcBorders>
              <w:top w:val="single" w:color="AAAAAA" w:sz="2"/>
              <w:left w:val="single" w:color="AAAAAA" w:sz="2"/>
              <w:bottom w:val="single" w:color="AAAAAA" w:sz="2"/>
              <w:right w:val="single" w:color="AAAAAA" w:sz="2"/>
            </w:tcBorders>
            <w:shd w:fill="F5F9FD"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قابلية التطبيق</w:t>
            </w:r>
          </w:p>
        </w:tc>
        <w:tc>
          <w:tcPr>
            <w:tcW w:type="dxa" w:w="6760"/>
            <w:tcBorders>
              <w:top w:val="single" w:color="AAAAAA" w:sz="2"/>
              <w:left w:val="single" w:color="AAAAAA" w:sz="2"/>
              <w:bottom w:val="single" w:color="AAAAAA" w:sz="2"/>
              <w:right w:val="single" w:color="AAAAAA" w:sz="2"/>
            </w:tcBorders>
            <w:shd w:fill="F9FC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مُثبت ميدانياً بأبسط المعدات في ظروف حقيقية</w:t>
            </w:r>
          </w:p>
        </w:tc>
      </w:tr>
      <w:tr>
        <w:tc>
          <w:tcPr>
            <w:tcW w:type="dxa" w:w="2600"/>
            <w:tcBorders>
              <w:top w:val="single" w:color="AAAAAA" w:sz="2"/>
              <w:left w:val="single" w:color="AAAAAA" w:sz="2"/>
              <w:bottom w:val="single" w:color="AAAAAA" w:sz="2"/>
              <w:right w:val="single" w:color="AAAAAA" w:sz="2"/>
            </w:tcBorders>
            <w:shd w:fill="EBF3FB" w:val="clear"/>
            <w:tcMar>
              <w:top w:type="dxa" w:w="80"/>
              <w:left w:type="dxa" w:w="140"/>
              <w:bottom w:type="dxa" w:w="80"/>
              <w:right w:type="dxa" w:w="140"/>
            </w:tcMar>
            <w:vAlign w:val="center"/>
          </w:tcPr>
          <w:p>
            <w:pPr>
              <w:jc w:val="right"/>
            </w:pPr>
            <w:r>
              <w:rPr>
                <w:rFonts w:ascii="Arial" w:cs="Arial" w:eastAsia="Arial" w:hAnsi="Arial"/>
                <w:b/>
                <w:bCs/>
                <w:color w:val="1A1A1A"/>
                <w:sz w:val="20"/>
                <w:szCs w:val="20"/>
              </w:rPr>
              <w:t xml:space="preserve">التنافسية</w:t>
            </w:r>
          </w:p>
        </w:tc>
        <w:tc>
          <w:tcPr>
            <w:tcW w:type="dxa" w:w="676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1A"/>
                <w:sz w:val="20"/>
                <w:szCs w:val="20"/>
              </w:rPr>
              <w:t xml:space="preserve">أرخص 55–70% من المنتج الهندي المستورد</w:t>
            </w:r>
          </w:p>
        </w:tc>
      </w:tr>
    </w:tbl>
    <w:p>
      <w:pPr>
        <w:spacing w:after="200"/>
      </w:pPr>
    </w:p>
    <w:p>
      <w:pPr>
        <w:pBdr>
          <w:bottom w:val="single" w:color="1F4E79" w:sz="6" w:space="4"/>
        </w:pBdr>
        <w:spacing w:after="120" w:before="320"/>
      </w:pPr>
      <w:r>
        <w:rPr>
          <w:rFonts w:ascii="Arial" w:cs="Arial" w:eastAsia="Arial" w:hAnsi="Arial"/>
          <w:b/>
          <w:bCs/>
          <w:color w:val="1F4E79"/>
          <w:sz w:val="26"/>
          <w:szCs w:val="26"/>
        </w:rPr>
        <w:t xml:space="preserve">تاسعاً  الملخص التقني (Abstract)</w:t>
      </w:r>
    </w:p>
    <w:p>
      <w:pPr>
        <w:bidi/>
        <w:spacing w:after="120"/>
        <w:jc w:val="right"/>
      </w:pPr>
      <w:r>
        <w:rPr>
          <w:rFonts w:ascii="Arial" w:cs="Arial" w:eastAsia="Arial" w:hAnsi="Arial"/>
          <w:color w:val="1A1A1A"/>
          <w:sz w:val="22"/>
          <w:szCs w:val="22"/>
        </w:rPr>
        <w:t xml:space="preserve">يكشف هذا الاختراع عن طريقة تتميز بإنتاج كربون نشط عالي الجودة من خليط خمسة مخلفات زراعية مصرية (نوى زيتون 40%، نوى بلح 25%، زعف نخل 15%، ورد نيل مجفف 12%، قش أرز 8%) باستخدام بروتوكول (HSBAP) ذي ست مراحل متتالية: الطحن والتجانس، الغمر الكيميائي بمحلول حمض الستريك 10–15% لمدة 12–16 ساعة، الغسيل والغمر الحيوي بماء طبيعي لمدة 3–4 ساعات، التجفيف الكامل، التفحيم المتدرج في جو شبه لاهوائي وفق بروتوكول رباعي من 25°C إلى 550°C، والتبريد اللاهوائي ثم المعالجة السطحية النهائية.</w:t>
      </w:r>
    </w:p>
    <w:p>
      <w:pPr>
        <w:bidi/>
        <w:spacing w:after="120"/>
        <w:jc w:val="right"/>
      </w:pPr>
      <w:r>
        <w:rPr>
          <w:rFonts w:ascii="Arial" w:cs="Arial" w:eastAsia="Arial" w:hAnsi="Arial"/>
          <w:color w:val="1A1A1A"/>
          <w:sz w:val="22"/>
          <w:szCs w:val="22"/>
        </w:rPr>
        <w:t xml:space="preserve">ينتج عن هذه الطريقة كربون نشط ذو توزيع مسامي ثنائي النمط (Bimodal Pore Distribution) يتميز بأداء امتصاصي يفوق الكربون النشط المستورد من الكوك الهندي بمؤشر يود لا يقل عن 700 mg/g، بتكلفة إنتاج أقل بنسبة 55–70%، مع إسهامه المزدوج في حل خمس مشكلات بيئية مصرية قائمة.</w:t>
      </w:r>
    </w:p>
    <w:p>
      <w:pPr>
        <w:spacing w:after="40" w:before="400"/>
      </w:pPr>
    </w:p>
    <w:p>
      <w:pPr>
        <w:pBdr>
          <w:top w:val="single" w:color="1F4E79" w:sz="4" w:space="8"/>
        </w:pBdr>
        <w:spacing w:after="80" w:before="80"/>
        <w:jc w:val="right"/>
      </w:pPr>
      <w:r>
        <w:rPr>
          <w:rFonts w:ascii="Arial" w:cs="Arial" w:eastAsia="Arial" w:hAnsi="Arial"/>
          <w:b/>
          <w:bCs/>
          <w:color w:val="1F4E79"/>
          <w:sz w:val="22"/>
          <w:szCs w:val="22"/>
        </w:rPr>
        <w:t xml:space="preserve">المخترع:</w:t>
      </w:r>
    </w:p>
    <w:p>
      <w:pPr>
        <w:bidi/>
        <w:spacing w:after="40"/>
        <w:jc w:val="right"/>
      </w:pPr>
      <w:r>
        <w:rPr>
          <w:rFonts w:ascii="Arial" w:cs="Arial" w:eastAsia="Arial" w:hAnsi="Arial"/>
          <w:sz w:val="22"/>
          <w:szCs w:val="22"/>
        </w:rPr>
        <w:t xml:space="preserve">الاسم: د. خالد — باحث بيئي مستقل</w:t>
      </w:r>
    </w:p>
    <w:p>
      <w:pPr>
        <w:bidi/>
        <w:spacing w:after="40"/>
        <w:jc w:val="right"/>
      </w:pPr>
      <w:r>
        <w:rPr>
          <w:rFonts w:ascii="Arial" w:cs="Arial" w:eastAsia="Arial" w:hAnsi="Arial"/>
          <w:sz w:val="22"/>
          <w:szCs w:val="22"/>
        </w:rPr>
        <w:t xml:space="preserve">التاريخ: مارس 2026</w:t>
      </w:r>
    </w:p>
    <w:p>
      <w:pPr>
        <w:bidi/>
        <w:spacing w:after="120"/>
        <w:jc w:val="right"/>
      </w:pPr>
      <w:r>
        <w:rPr>
          <w:rFonts w:ascii="Arial" w:cs="Arial" w:eastAsia="Arial" w:hAnsi="Arial"/>
          <w:sz w:val="22"/>
          <w:szCs w:val="22"/>
        </w:rPr>
        <w:t xml:space="preserve">التوقيع: ________________________</w:t>
      </w:r>
    </w:p>
    <w:p>
      <w:pPr>
        <w:spacing w:before="200"/>
        <w:jc w:val="center"/>
      </w:pPr>
      <w:r>
        <w:rPr>
          <w:rFonts w:ascii="Arial" w:cs="Arial" w:eastAsia="Arial" w:hAnsi="Arial"/>
          <w:i/>
          <w:iCs/>
          <w:color w:val="1F4E79"/>
          <w:sz w:val="20"/>
          <w:szCs w:val="20"/>
        </w:rPr>
        <w:t xml:space="preserve">"نعمر الأرض بعلم صادق وعمل حقيقي" — بإذن الله</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سري — محمي قانوناً   |   د. خالد — مارس 2026   |   صفحة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center"/>
    </w:pPr>
    <w:r>
      <w:rPr>
        <w:rFonts w:ascii="Arial" w:cs="Arial" w:eastAsia="Arial" w:hAnsi="Arial"/>
        <w:color w:val="1F4E79"/>
        <w:sz w:val="18"/>
        <w:szCs w:val="18"/>
      </w:rPr>
      <w:t xml:space="preserve">طلب براءة اختراع — كربون نشط سوبر من مخلفات زراعية مصرية   |   HSBAP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2026-04-04T18:56:30.644Z</dcterms:created>
  <dcterms:modified xsi:type="dcterms:W3CDTF">2026-04-04T18:56:30.645Z</dcterms:modified>
</cp:coreProperties>
</file>

<file path=docProps/custom.xml><?xml version="1.0" encoding="utf-8"?>
<Properties xmlns="http://schemas.openxmlformats.org/officeDocument/2006/custom-properties" xmlns:vt="http://schemas.openxmlformats.org/officeDocument/2006/docPropsVTypes"/>
</file>