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6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جمهورية مصر العربية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أكاديمية البحث العلمي والتكنولوجيا</w:t>
      </w:r>
    </w:p>
    <w:p>
      <w:pPr>
        <w:pBdr>
          <w:top w:val="single" w:color="1F6B3A" w:sz="8" w:space="6"/>
          <w:bottom w:val="single" w:color="1F6B3A" w:sz="8" w:space="6"/>
        </w:pBdr>
        <w:spacing w:before="0" w:after="200"/>
        <w:jc w:val="center"/>
      </w:pPr>
      <w:r>
        <w:rPr>
          <w:rFonts w:ascii="Arial" w:cs="Arial" w:eastAsia="Arial" w:hAnsi="Arial"/>
          <w:b/>
          <w:bCs/>
          <w:color w:val="555555"/>
          <w:sz w:val="30"/>
          <w:szCs w:val="30"/>
        </w:rPr>
        <w:t xml:space="preserve">طلب منح براءة اختراع</w:t>
      </w:r>
    </w:p>
    <w:p>
      <w:pPr>
        <w:spacing w:before="300" w:after="160"/>
        <w:jc w:val="center"/>
      </w:pPr>
      <w:r>
        <w:rPr>
          <w:rFonts w:ascii="Arial" w:cs="Arial" w:eastAsia="Arial" w:hAnsi="Arial"/>
          <w:b/>
          <w:bCs/>
          <w:color w:val="1F6B3A"/>
          <w:sz w:val="44"/>
          <w:szCs w:val="44"/>
        </w:rPr>
        <w:t xml:space="preserve">طريقة إنتاج كربون نشط سوبر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من خمسة مخلفات زراعية مصرية ببروتوكول غمر متتالٍ مبتكر</w:t>
      </w:r>
    </w:p>
    <w:p>
      <w:pPr>
        <w:spacing w:before="0" w:after="3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(Hexa-Stage Bio-Activation Protocol — HSBAP)</w:t>
      </w:r>
    </w:p>
    <w:p>
      <w:pPr>
        <w:spacing w:before="80" w:after="80"/>
      </w:pPr>
    </w:p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6B3A"/>
                <w:sz w:val="22"/>
                <w:szCs w:val="22"/>
              </w:rPr>
              <w:t xml:space="preserve">البيان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6B3A"/>
                <w:sz w:val="22"/>
                <w:szCs w:val="22"/>
              </w:rPr>
              <w:t xml:space="preserve">التفاصيل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المخترع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د. خالد — باحث بيئي مستقل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الجنسية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مصري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تاريخ التقديم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مارس 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تصنيف الاختراع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هندسة كيميائية — معالجة المياه — بيئة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رقم السجل التجاري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متاح عند الطلب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براءات سابقة للمخترع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6 براءات مسجلة في مجال البيئة والمياه</w:t>
            </w:r>
          </w:p>
        </w:tc>
      </w:tr>
    </w:tbl>
    <w:p>
      <w:pPr>
        <w:spacing w:before="80" w:after="80"/>
      </w:pPr>
    </w:p>
    <w:p>
      <w:pPr>
        <w:spacing w:before="80" w:after="80"/>
      </w:pP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CC0000"/>
          <w:sz w:val="22"/>
          <w:szCs w:val="22"/>
        </w:rPr>
        <w:t xml:space="preserve">سري — محاط بحماية قانونية كاملة لحين منح البراءة</w:t>
      </w:r>
    </w:p>
    <w:p>
      <w:r>
        <w:br w:type="page"/>
      </w:r>
    </w:p>
    <w:p>
      <w:pPr>
        <w:pBdr>
          <w:bottom w:val="single" w:color="1F6B3A" w:sz="6" w:space="2"/>
          <w:right w:val="single" w:color="1F6B3A" w:sz="18" w:space="8"/>
        </w:pBdr>
        <w:spacing w:before="300" w:after="140"/>
        <w:ind w:right="160"/>
        <w:jc w:val="right"/>
      </w:pPr>
      <w:r>
        <w:rPr>
          <w:rFonts w:ascii="Arial" w:cs="Arial" w:eastAsia="Arial" w:hAnsi="Arial"/>
          <w:b/>
          <w:bCs/>
          <w:color w:val="1F6B3A"/>
          <w:sz w:val="28"/>
          <w:szCs w:val="28"/>
        </w:rPr>
        <w:t xml:space="preserve">أولاً — مجال الاختراع</w:t>
      </w:r>
    </w:p>
    <w:p>
      <w:pPr>
        <w:spacing w:before="100" w:after="100"/>
        <w:jc w:val="right"/>
      </w:pPr>
      <w:r>
        <w:rPr>
          <w:rFonts w:ascii="Arial" w:cs="Arial" w:eastAsia="Arial" w:hAnsi="Arial"/>
          <w:color w:val="1a1a1a"/>
          <w:sz w:val="23"/>
          <w:szCs w:val="23"/>
        </w:rPr>
        <w:t xml:space="preserve">يتعلق هذا الاختراع بطريقة مبتكرة لإنتاج كربون نشط (Activated Carbon) عالي الجودة من خليط محدد النسب من خمسة مخلفات زراعية مصرية، باستخدام بروتوكول غمر كيميائي-حيوي متتالٍ ذي مرحلتين قبل التفحيم، يُنتج كارباً نشطاً ذا توزيع مسامي ثنائي النمط (Bimodal Pore Distribution) يفوق في أدائه الكربون النشط المستورد من الفحم الحجري والكوك الهندي.</w:t>
      </w:r>
    </w:p>
    <w:p>
      <w:pPr>
        <w:spacing w:before="80" w:after="80"/>
      </w:pPr>
    </w:p>
    <w:p>
      <w:pPr>
        <w:pBdr>
          <w:bottom w:val="single" w:color="1F6B3A" w:sz="6" w:space="2"/>
          <w:right w:val="single" w:color="1F6B3A" w:sz="18" w:space="8"/>
        </w:pBdr>
        <w:spacing w:before="300" w:after="140"/>
        <w:ind w:right="160"/>
        <w:jc w:val="right"/>
      </w:pPr>
      <w:r>
        <w:rPr>
          <w:rFonts w:ascii="Arial" w:cs="Arial" w:eastAsia="Arial" w:hAnsi="Arial"/>
          <w:b/>
          <w:bCs/>
          <w:color w:val="1F6B3A"/>
          <w:sz w:val="28"/>
          <w:szCs w:val="28"/>
        </w:rPr>
        <w:t xml:space="preserve">ثانياً — خلفية الاختراع والمشكلة المحلولة</w:t>
      </w:r>
    </w:p>
    <w:p>
      <w:pPr>
        <w:spacing w:before="100" w:after="100"/>
        <w:jc w:val="right"/>
      </w:pPr>
      <w:r>
        <w:rPr>
          <w:rFonts w:ascii="Arial" w:cs="Arial" w:eastAsia="Arial" w:hAnsi="Arial"/>
          <w:color w:val="1a1a1a"/>
          <w:sz w:val="23"/>
          <w:szCs w:val="23"/>
        </w:rPr>
        <w:t xml:space="preserve">تعاني مصر من مشكلتين بيئيتين متزامنتين:</w:t>
      </w:r>
    </w:p>
    <w:p>
      <w:pPr>
        <w:spacing w:before="60" w:after="60"/>
        <w:ind w:right="400"/>
        <w:jc w:val="right"/>
      </w:pPr>
      <w:r>
        <w:rPr>
          <w:rFonts w:ascii="Arial" w:cs="Arial" w:eastAsia="Arial" w:hAnsi="Arial"/>
          <w:color w:val="1a1a1a"/>
          <w:sz w:val="23"/>
          <w:szCs w:val="23"/>
        </w:rPr>
        <w:t xml:space="preserve">• مشكلة الخامات: تُحرق ملايين الأطنان من المخلفات الزراعية سنوياً (قش الأرز — السحابة السوداء) أو تُلقى في المجاري المائية (ورد النيل)، مما يُسبب أضراراً صحية وبيئية جسيمة.</w:t>
      </w:r>
    </w:p>
    <w:p>
      <w:pPr>
        <w:spacing w:before="60" w:after="60"/>
        <w:ind w:right="400"/>
        <w:jc w:val="right"/>
      </w:pPr>
      <w:r>
        <w:rPr>
          <w:rFonts w:ascii="Arial" w:cs="Arial" w:eastAsia="Arial" w:hAnsi="Arial"/>
          <w:color w:val="1a1a1a"/>
          <w:sz w:val="23"/>
          <w:szCs w:val="23"/>
        </w:rPr>
        <w:t xml:space="preserve">• مشكلة الاستيراد: تستورد مصر ما يزيد على 90% من احتياجاتها من الكربون النشط بالعملة الصعبة (~$15–20 مليون سنوياً) رغم توافر الخامات اللازمة لإنتاجه محلياً.</w:t>
      </w:r>
    </w:p>
    <w:p>
      <w:pPr>
        <w:spacing w:before="80" w:after="80"/>
      </w:pPr>
    </w:p>
    <w:p>
      <w:pPr>
        <w:spacing w:before="100" w:after="100"/>
        <w:jc w:val="right"/>
      </w:pPr>
      <w:r>
        <w:rPr>
          <w:rFonts w:ascii="Arial" w:cs="Arial" w:eastAsia="Arial" w:hAnsi="Arial"/>
          <w:color w:val="1a1a1a"/>
          <w:sz w:val="23"/>
          <w:szCs w:val="23"/>
        </w:rPr>
        <w:t xml:space="preserve">جاء هذا الاختراع ليحل المشكلتين معاً، بتحويل هذه المخلفات إلى منتج صناعي عالي القيمة يحقق الاكتفاء الذاتي ويُصدَّر للأسواق العربية التي تفتقر تماماً لمنتج مماثل.</w:t>
      </w:r>
    </w:p>
    <w:p>
      <w:pPr>
        <w:spacing w:before="80" w:after="80"/>
      </w:pPr>
    </w:p>
    <w:p>
      <w:pPr>
        <w:pBdr>
          <w:bottom w:val="single" w:color="1F6B3A" w:sz="6" w:space="2"/>
          <w:right w:val="single" w:color="1F6B3A" w:sz="18" w:space="8"/>
        </w:pBdr>
        <w:spacing w:before="300" w:after="140"/>
        <w:ind w:right="160"/>
        <w:jc w:val="right"/>
      </w:pPr>
      <w:r>
        <w:rPr>
          <w:rFonts w:ascii="Arial" w:cs="Arial" w:eastAsia="Arial" w:hAnsi="Arial"/>
          <w:b/>
          <w:bCs/>
          <w:color w:val="1F6B3A"/>
          <w:sz w:val="28"/>
          <w:szCs w:val="28"/>
        </w:rPr>
        <w:t xml:space="preserve">ثالثاً — الفرق عن الأبحاث السابقة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6B3A"/>
                <w:sz w:val="22"/>
                <w:szCs w:val="22"/>
              </w:rPr>
              <w:t xml:space="preserve">وجه المقارنة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6B3A"/>
                <w:sz w:val="22"/>
                <w:szCs w:val="22"/>
              </w:rPr>
              <w:t xml:space="preserve">الأبحاث السابقة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6B3A"/>
                <w:sz w:val="22"/>
                <w:szCs w:val="22"/>
              </w:rPr>
              <w:t xml:space="preserve">هذا الاختراع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الخامات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خامة واحدة (قش أرز فقط أو نوى زيتون فقط)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خليط خمس خامات بنسب محددة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بروتوكول التنشيط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حمض واحد أو بخار ماء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غمر متتالٍ بمرحلتين كيميائية-حيوية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التوزيع المسامي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أحادي النمط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ثنائي النمط (Bimodal) — ميزة فريدة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التكلفة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خامات مشتراة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مخلفات مجانية أو رخيصة جداً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الأثر البيئي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محدود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حل خمس مشكلات بيئية في آنٍ واحد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التجربة الفعلية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معملية فقط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مثبت ميدانياً في ظروف صناعية فعلية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Bdr>
          <w:bottom w:val="single" w:color="1F6B3A" w:sz="6" w:space="2"/>
          <w:right w:val="single" w:color="1F6B3A" w:sz="18" w:space="8"/>
        </w:pBdr>
        <w:spacing w:before="300" w:after="140"/>
        <w:ind w:right="160"/>
        <w:jc w:val="right"/>
      </w:pPr>
      <w:r>
        <w:rPr>
          <w:rFonts w:ascii="Arial" w:cs="Arial" w:eastAsia="Arial" w:hAnsi="Arial"/>
          <w:b/>
          <w:bCs/>
          <w:color w:val="1F6B3A"/>
          <w:sz w:val="28"/>
          <w:szCs w:val="28"/>
        </w:rPr>
        <w:t xml:space="preserve">رابعاً — التركيبة الذهبية للخليط — جوهر الاختراع</w:t>
      </w:r>
    </w:p>
    <w:p>
      <w:pPr>
        <w:spacing w:before="100" w:after="100"/>
        <w:jc w:val="right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يتميز هذا الاختراع بنسب محددة ومحمية للخامات الخمسة، توصل إليها المخترع من خلال تجارب ميدانية فعلية وتحليل علمي لتركيبة كل خامة:</w:t>
      </w:r>
    </w:p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400"/>
        <w:gridCol w:w="2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6B3A"/>
                <w:sz w:val="22"/>
                <w:szCs w:val="22"/>
              </w:rPr>
              <w:t xml:space="preserve">الخامة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6B3A"/>
                <w:sz w:val="22"/>
                <w:szCs w:val="22"/>
              </w:rPr>
              <w:t xml:space="preserve">النسبة المئوية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6B3A"/>
                <w:sz w:val="22"/>
                <w:szCs w:val="22"/>
              </w:rPr>
              <w:t xml:space="preserve">الدور الوظيفي في المنتج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6B3A"/>
                <w:sz w:val="22"/>
                <w:szCs w:val="22"/>
              </w:rPr>
              <w:t xml:space="preserve">مصدرها البيئي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نوى الزيتون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40% ± 3%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مصدر Micropores الدقيقة — العمود الفقري للامتصاص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مصانع زيت الزيتون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نوى البلح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25% ± 3%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هيكل كربوني صلب — يمنع الانهيار الحراري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مناطق النخيل والواحات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زعف النخل (مفروم)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15% ± 2%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ألياف سليلوزية رابطة — تمنع التفتت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مزارع النخيل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ورد النيل (مجفف)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12% ± 2%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تنشيط حيوي سريع — يرفع مساحة السطح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ترع مصر — مشكلة بيئية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قش الأرز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8% ± 2%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سيليكا طبيعية — تُكوّن Mesopores المتوسطة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حقول الدلتا</w:t>
            </w:r>
          </w:p>
        </w:tc>
      </w:tr>
    </w:tbl>
    <w:p>
      <w:pPr>
        <w:spacing w:before="80" w:after="80"/>
      </w:pPr>
    </w:p>
    <w:p>
      <w:pPr>
        <w:spacing w:before="100" w:after="100"/>
        <w:jc w:val="right"/>
      </w:pPr>
      <w:r>
        <w:rPr>
          <w:rFonts w:ascii="Arial" w:cs="Arial" w:eastAsia="Arial" w:hAnsi="Arial"/>
          <w:i/>
          <w:iCs/>
          <w:color w:val="CC0000"/>
          <w:sz w:val="23"/>
          <w:szCs w:val="23"/>
        </w:rPr>
        <w:t xml:space="preserve">ملاحظة قانونية: تُعد هذه النسب بمجموعها وبأي خليط يشمل ثلاثاً منها أو أكثر بهذا التوزيع التقريبي جزءاً من نطاق حماية هذه البراءة.</w:t>
      </w:r>
    </w:p>
    <w:p>
      <w:pPr>
        <w:spacing w:before="80" w:after="80"/>
      </w:pPr>
    </w:p>
    <w:p>
      <w:pPr>
        <w:pBdr>
          <w:bottom w:val="single" w:color="1F6B3A" w:sz="6" w:space="2"/>
          <w:right w:val="single" w:color="1F6B3A" w:sz="18" w:space="8"/>
        </w:pBdr>
        <w:spacing w:before="300" w:after="140"/>
        <w:ind w:right="160"/>
        <w:jc w:val="right"/>
      </w:pPr>
      <w:r>
        <w:rPr>
          <w:rFonts w:ascii="Arial" w:cs="Arial" w:eastAsia="Arial" w:hAnsi="Arial"/>
          <w:b/>
          <w:bCs/>
          <w:color w:val="1F6B3A"/>
          <w:sz w:val="28"/>
          <w:szCs w:val="28"/>
        </w:rPr>
        <w:t xml:space="preserve">خامساً — بروتوكول الإنتاج المبتكر — خطوات الاختراع</w:t>
      </w:r>
    </w:p>
    <w:p>
      <w:pPr>
        <w:spacing w:before="100" w:after="100"/>
        <w:jc w:val="right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البروتوكول الكامل (HSBAP — Hexa-Stage Bio-Activation Protocol):</w:t>
      </w:r>
    </w:p>
    <w:p>
      <w:pPr>
        <w:spacing w:before="80" w:after="80"/>
      </w:pPr>
    </w:p>
    <w:p>
      <w:pPr>
        <w:spacing w:before="180" w:after="80"/>
        <w:jc w:val="right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المرحلة الأولى: التحضير والطحن</w:t>
      </w:r>
    </w:p>
    <w:p>
      <w:pPr>
        <w:spacing w:before="100" w:after="100"/>
        <w:ind w:right="400"/>
        <w:jc w:val="right"/>
      </w:pPr>
      <w:r>
        <w:rPr>
          <w:rFonts w:ascii="Arial" w:cs="Arial" w:eastAsia="Arial" w:hAnsi="Arial"/>
          <w:b/>
          <w:bCs/>
          <w:color w:val="1F6B3A"/>
          <w:sz w:val="23"/>
          <w:szCs w:val="23"/>
        </w:rPr>
        <w:t xml:space="preserve">1.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تُجمع الخامات الخمسة وتُجفف تجفيفاً أولياً في الشمس لمدة 48–72 ساعة أو في فرن عند 80°C حتى الوصول لرطوبة أقل من 15%.</w:t>
      </w:r>
    </w:p>
    <w:p>
      <w:pPr>
        <w:spacing w:before="100" w:after="100"/>
        <w:ind w:right="400"/>
        <w:jc w:val="right"/>
      </w:pPr>
      <w:r>
        <w:rPr>
          <w:rFonts w:ascii="Arial" w:cs="Arial" w:eastAsia="Arial" w:hAnsi="Arial"/>
          <w:b/>
          <w:bCs/>
          <w:color w:val="1F6B3A"/>
          <w:sz w:val="23"/>
          <w:szCs w:val="23"/>
        </w:rPr>
        <w:t xml:space="preserve">2.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تُطحن كل خامة منفردة حتى تصل لحجم جسيمات 0.5–2 مم.</w:t>
      </w:r>
    </w:p>
    <w:p>
      <w:pPr>
        <w:spacing w:before="100" w:after="100"/>
        <w:ind w:right="400"/>
        <w:jc w:val="right"/>
      </w:pPr>
      <w:r>
        <w:rPr>
          <w:rFonts w:ascii="Arial" w:cs="Arial" w:eastAsia="Arial" w:hAnsi="Arial"/>
          <w:b/>
          <w:bCs/>
          <w:color w:val="1F6B3A"/>
          <w:sz w:val="23"/>
          <w:szCs w:val="23"/>
        </w:rPr>
        <w:t xml:space="preserve">3.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يُخلط الطحين بالنسب الذهبية المحددة في القسم الرابع في خلاط ريشي (Ribbon Blender) لمدة 20–30 دقيقة حتى التجانس الكامل.</w:t>
      </w:r>
    </w:p>
    <w:p>
      <w:pPr>
        <w:spacing w:before="80" w:after="80"/>
      </w:pPr>
    </w:p>
    <w:p>
      <w:pPr>
        <w:spacing w:before="180" w:after="80"/>
        <w:jc w:val="right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المرحلة الثانية: الغمر الكيميائي الأول — حمض الستريك</w:t>
      </w:r>
    </w:p>
    <w:p>
      <w:pPr>
        <w:spacing w:before="100" w:after="100"/>
        <w:ind w:right="400"/>
        <w:jc w:val="right"/>
      </w:pPr>
      <w:r>
        <w:rPr>
          <w:rFonts w:ascii="Arial" w:cs="Arial" w:eastAsia="Arial" w:hAnsi="Arial"/>
          <w:b/>
          <w:bCs/>
          <w:color w:val="1F6B3A"/>
          <w:sz w:val="23"/>
          <w:szCs w:val="23"/>
        </w:rPr>
        <w:t xml:space="preserve">4.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يُحضَّر محلول حمض الستريك (Citric Acid) بتركيز 10–15% وزن/حجم في ماء نظيف.</w:t>
      </w:r>
    </w:p>
    <w:p>
      <w:pPr>
        <w:spacing w:before="100" w:after="100"/>
        <w:ind w:right="400"/>
        <w:jc w:val="right"/>
      </w:pPr>
      <w:r>
        <w:rPr>
          <w:rFonts w:ascii="Arial" w:cs="Arial" w:eastAsia="Arial" w:hAnsi="Arial"/>
          <w:b/>
          <w:bCs/>
          <w:color w:val="1F6B3A"/>
          <w:sz w:val="23"/>
          <w:szCs w:val="23"/>
        </w:rPr>
        <w:t xml:space="preserve">5.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يُغمر الخليط المطحون في المحلول بنسبة 3 لترات لكل كيلوغرام خليط.</w:t>
      </w:r>
    </w:p>
    <w:p>
      <w:pPr>
        <w:spacing w:before="100" w:after="100"/>
        <w:ind w:right="400"/>
        <w:jc w:val="right"/>
      </w:pPr>
      <w:r>
        <w:rPr>
          <w:rFonts w:ascii="Arial" w:cs="Arial" w:eastAsia="Arial" w:hAnsi="Arial"/>
          <w:b/>
          <w:bCs/>
          <w:color w:val="1F6B3A"/>
          <w:sz w:val="23"/>
          <w:szCs w:val="23"/>
        </w:rPr>
        <w:t xml:space="preserve">6.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يُترك الخليط مغموراً لمدة 12–16 ساعة في درجة حرارة الغرفة (لا يحتاج تسخيناً).</w:t>
      </w:r>
    </w:p>
    <w:p>
      <w:pPr>
        <w:spacing w:before="100" w:after="100"/>
        <w:jc w:val="right"/>
      </w:pPr>
      <w:r>
        <w:rPr>
          <w:rFonts w:ascii="Arial" w:cs="Arial" w:eastAsia="Arial" w:hAnsi="Arial"/>
          <w:i/>
          <w:iCs/>
          <w:color w:val="555555"/>
          <w:sz w:val="23"/>
          <w:szCs w:val="23"/>
        </w:rPr>
        <w:t xml:space="preserve">وظيفة هذه المرحلة: حمض الستريك يفتح المسام السطحية ويُزيل المعادن الزائدة ويُقلل السيليكا الضارة في قش الأرز، مما يرفع كفاءة الكربون النهائي بنسبة 20–30%.</w:t>
      </w:r>
    </w:p>
    <w:p>
      <w:pPr>
        <w:spacing w:before="80" w:after="80"/>
      </w:pPr>
    </w:p>
    <w:p>
      <w:pPr>
        <w:spacing w:before="180" w:after="80"/>
        <w:jc w:val="right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المرحلة الثالثة: الغسيل والغمر الحيوي الثاني — الماء الطبيعي</w:t>
      </w:r>
    </w:p>
    <w:p>
      <w:pPr>
        <w:spacing w:before="100" w:after="100"/>
        <w:ind w:right="400"/>
        <w:jc w:val="right"/>
      </w:pPr>
      <w:r>
        <w:rPr>
          <w:rFonts w:ascii="Arial" w:cs="Arial" w:eastAsia="Arial" w:hAnsi="Arial"/>
          <w:b/>
          <w:bCs/>
          <w:color w:val="1F6B3A"/>
          <w:sz w:val="23"/>
          <w:szCs w:val="23"/>
        </w:rPr>
        <w:t xml:space="preserve">7.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يُصفَّى الخليط من محلول الحمض ويُغسل ثلاث مرات بماء نظيف.</w:t>
      </w:r>
    </w:p>
    <w:p>
      <w:pPr>
        <w:spacing w:before="100" w:after="100"/>
        <w:ind w:right="400"/>
        <w:jc w:val="right"/>
      </w:pPr>
      <w:r>
        <w:rPr>
          <w:rFonts w:ascii="Arial" w:cs="Arial" w:eastAsia="Arial" w:hAnsi="Arial"/>
          <w:b/>
          <w:bCs/>
          <w:color w:val="1F6B3A"/>
          <w:sz w:val="23"/>
          <w:szCs w:val="23"/>
        </w:rPr>
        <w:t xml:space="preserve">8.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يُغمر الخليط مجدداً في ماء طبيعي نظيف لمدة 3–4 ساعات.</w:t>
      </w:r>
    </w:p>
    <w:p>
      <w:pPr>
        <w:spacing w:before="100" w:after="100"/>
        <w:ind w:right="400"/>
        <w:jc w:val="right"/>
      </w:pPr>
      <w:r>
        <w:rPr>
          <w:rFonts w:ascii="Arial" w:cs="Arial" w:eastAsia="Arial" w:hAnsi="Arial"/>
          <w:b/>
          <w:bCs/>
          <w:color w:val="1F6B3A"/>
          <w:sz w:val="23"/>
          <w:szCs w:val="23"/>
        </w:rPr>
        <w:t xml:space="preserve">9.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يُصفَّى الخليط ويُترك للتصريف الطبيعي.</w:t>
      </w:r>
    </w:p>
    <w:p>
      <w:pPr>
        <w:spacing w:before="100" w:after="100"/>
        <w:jc w:val="right"/>
      </w:pPr>
      <w:r>
        <w:rPr>
          <w:rFonts w:ascii="Arial" w:cs="Arial" w:eastAsia="Arial" w:hAnsi="Arial"/>
          <w:i/>
          <w:iCs/>
          <w:color w:val="555555"/>
          <w:sz w:val="23"/>
          <w:szCs w:val="23"/>
        </w:rPr>
        <w:t xml:space="preserve">وظيفة هذه المرحلة: إزالة فائض الحمض الذي قد يتلف المسام أثناء التفحيم، واستكمال التنشيط الطبيعي عبر الأيونات المعدنية الطبيعية الموجودة في الماء.</w:t>
      </w:r>
    </w:p>
    <w:p>
      <w:pPr>
        <w:spacing w:before="80" w:after="80"/>
      </w:pPr>
    </w:p>
    <w:p>
      <w:r>
        <w:br w:type="page"/>
      </w:r>
    </w:p>
    <w:p>
      <w:pPr>
        <w:spacing w:before="180" w:after="80"/>
        <w:jc w:val="right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المرحلة الرابعة: التجفيف النهائي</w:t>
      </w:r>
    </w:p>
    <w:p>
      <w:pPr>
        <w:spacing w:before="100" w:after="100"/>
        <w:ind w:right="400"/>
        <w:jc w:val="right"/>
      </w:pPr>
      <w:r>
        <w:rPr>
          <w:rFonts w:ascii="Arial" w:cs="Arial" w:eastAsia="Arial" w:hAnsi="Arial"/>
          <w:b/>
          <w:bCs/>
          <w:color w:val="1F6B3A"/>
          <w:sz w:val="23"/>
          <w:szCs w:val="23"/>
        </w:rPr>
        <w:t xml:space="preserve">10.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يُجفَّف الخليط المُعالج تجفيفاً كاملاً إما بالطاقة الشمسية (48–72 ساعة) أو في فرن عند 105°C حتى ثبات الوزن (زيادة لا تتجاوز 0.1% بين قراءتين).</w:t>
      </w:r>
    </w:p>
    <w:p>
      <w:pPr>
        <w:spacing w:before="100" w:after="100"/>
        <w:ind w:right="400"/>
        <w:jc w:val="right"/>
      </w:pPr>
      <w:r>
        <w:rPr>
          <w:rFonts w:ascii="Arial" w:cs="Arial" w:eastAsia="Arial" w:hAnsi="Arial"/>
          <w:b/>
          <w:bCs/>
          <w:color w:val="1F6B3A"/>
          <w:sz w:val="23"/>
          <w:szCs w:val="23"/>
        </w:rPr>
        <w:t xml:space="preserve">11.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يجب أن تصل الرطوبة إلى ما دون 5% قبل الانتقال لمرحلة التفحيم.</w:t>
      </w:r>
    </w:p>
    <w:p>
      <w:pPr>
        <w:spacing w:before="80" w:after="80"/>
      </w:pPr>
    </w:p>
    <w:p>
      <w:pPr>
        <w:spacing w:before="180" w:after="80"/>
        <w:jc w:val="right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المرحلة الخامسة: التفحيم (Slow Pyrolysis)</w:t>
      </w:r>
    </w:p>
    <w:p>
      <w:pPr>
        <w:spacing w:before="100" w:after="100"/>
        <w:ind w:right="400"/>
        <w:jc w:val="right"/>
      </w:pPr>
      <w:r>
        <w:rPr>
          <w:rFonts w:ascii="Arial" w:cs="Arial" w:eastAsia="Arial" w:hAnsi="Arial"/>
          <w:b/>
          <w:bCs/>
          <w:color w:val="1F6B3A"/>
          <w:sz w:val="23"/>
          <w:szCs w:val="23"/>
        </w:rPr>
        <w:t xml:space="preserve">12.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يُحمَّل الخليط الجاف في وعاء الحرق مع تقليل مدخل الهواء إلى أدنى مستوى (جو شبه لاهوائي).</w:t>
      </w:r>
    </w:p>
    <w:p>
      <w:pPr>
        <w:spacing w:before="100" w:after="100"/>
        <w:ind w:right="400"/>
        <w:jc w:val="right"/>
      </w:pPr>
      <w:r>
        <w:rPr>
          <w:rFonts w:ascii="Arial" w:cs="Arial" w:eastAsia="Arial" w:hAnsi="Arial"/>
          <w:b/>
          <w:bCs/>
          <w:color w:val="1F6B3A"/>
          <w:sz w:val="23"/>
          <w:szCs w:val="23"/>
        </w:rPr>
        <w:t xml:space="preserve">13.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يُطبَّق بروتوكول التسخين المتدرج التالي: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600"/>
        <w:gridCol w:w="1800"/>
        <w:gridCol w:w="3028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6B3A"/>
                <w:sz w:val="22"/>
                <w:szCs w:val="22"/>
              </w:rPr>
              <w:t xml:space="preserve">المرحلة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6B3A"/>
                <w:sz w:val="22"/>
                <w:szCs w:val="22"/>
              </w:rPr>
              <w:t xml:space="preserve">النطاق الحراري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6B3A"/>
                <w:sz w:val="22"/>
                <w:szCs w:val="22"/>
              </w:rPr>
              <w:t xml:space="preserve">معدل الرفع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6B3A"/>
                <w:sz w:val="22"/>
                <w:szCs w:val="22"/>
              </w:rPr>
              <w:t xml:space="preserve">المدة التقريبية</w:t>
            </w:r>
          </w:p>
        </w:tc>
        <w:tc>
          <w:tcPr>
            <w:tcW w:type="dxa" w:w="3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6B3A"/>
                <w:sz w:val="22"/>
                <w:szCs w:val="22"/>
              </w:rPr>
              <w:t xml:space="preserve">الهدف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25°C ← 280°C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5°C / دقيقة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~50 دقيقة</w:t>
            </w:r>
          </w:p>
        </w:tc>
        <w:tc>
          <w:tcPr>
            <w:tcW w:type="dxa" w:w="3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تفكيك الهيميسيليلوز بأمان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280°C ← 500°C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8°C / دقيقة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~28 دقيقة</w:t>
            </w:r>
          </w:p>
        </w:tc>
        <w:tc>
          <w:tcPr>
            <w:tcW w:type="dxa" w:w="3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تفحيم السيليلوز الرئيسي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500°C ← 550°C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5°C / دقيقة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~10 دقيقة</w:t>
            </w:r>
          </w:p>
        </w:tc>
        <w:tc>
          <w:tcPr>
            <w:tcW w:type="dxa" w:w="3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تفكيك اللجنين في النوى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د — Soak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550°C ثابتة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30–45 دقيقة</w:t>
            </w:r>
          </w:p>
        </w:tc>
        <w:tc>
          <w:tcPr>
            <w:tcW w:type="dxa" w:w="3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اكتمال التفحيم وتوحيد الجودة</w:t>
            </w:r>
          </w:p>
        </w:tc>
      </w:tr>
    </w:tbl>
    <w:p>
      <w:pPr>
        <w:spacing w:before="80" w:after="80"/>
      </w:pPr>
    </w:p>
    <w:p>
      <w:pPr>
        <w:spacing w:before="100" w:after="100"/>
        <w:jc w:val="right"/>
      </w:pPr>
      <w:r>
        <w:rPr>
          <w:rFonts w:ascii="Arial" w:cs="Arial" w:eastAsia="Arial" w:hAnsi="Arial"/>
          <w:i/>
          <w:iCs/>
          <w:color w:val="555555"/>
          <w:sz w:val="23"/>
          <w:szCs w:val="23"/>
        </w:rPr>
        <w:t xml:space="preserve">ملاحظة: في الإنتاج الميداني البسيط، يمكن تحقيق هذا النطاق الحراري بإغلاق وعاء التفحيم بمواد عازلة طبيعية (رمل ناشف + ليف نخل) مع التحكم في فتحات الهواء.</w:t>
      </w:r>
    </w:p>
    <w:p>
      <w:pPr>
        <w:spacing w:before="80" w:after="80"/>
      </w:pPr>
    </w:p>
    <w:p>
      <w:pPr>
        <w:spacing w:before="180" w:after="80"/>
        <w:jc w:val="right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المرحلة السادسة: التبريد والمعالجة النهائية</w:t>
      </w:r>
    </w:p>
    <w:p>
      <w:pPr>
        <w:spacing w:before="100" w:after="100"/>
        <w:ind w:right="400"/>
        <w:jc w:val="right"/>
      </w:pPr>
      <w:r>
        <w:rPr>
          <w:rFonts w:ascii="Arial" w:cs="Arial" w:eastAsia="Arial" w:hAnsi="Arial"/>
          <w:b/>
          <w:bCs/>
          <w:color w:val="1F6B3A"/>
          <w:sz w:val="23"/>
          <w:szCs w:val="23"/>
        </w:rPr>
        <w:t xml:space="preserve">14.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يُترك المنتج يبرد تبريداً بطيئاً داخل وعاء التفحيم المغلق لمدة 4–6 ساعات (تبريد لاهوائي يمنع الأكسدة).</w:t>
      </w:r>
    </w:p>
    <w:p>
      <w:pPr>
        <w:spacing w:before="100" w:after="100"/>
        <w:ind w:right="400"/>
        <w:jc w:val="right"/>
      </w:pPr>
      <w:r>
        <w:rPr>
          <w:rFonts w:ascii="Arial" w:cs="Arial" w:eastAsia="Arial" w:hAnsi="Arial"/>
          <w:b/>
          <w:bCs/>
          <w:color w:val="1F6B3A"/>
          <w:sz w:val="23"/>
          <w:szCs w:val="23"/>
        </w:rPr>
        <w:t xml:space="preserve">15.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يُطحن المنتج للحجم المطلوب حسب التطبيق (0.1–2 مم للفلاتر، مسحوق للصناعة الدوائية).</w:t>
      </w:r>
    </w:p>
    <w:p>
      <w:pPr>
        <w:spacing w:before="100" w:after="100"/>
        <w:ind w:right="400"/>
        <w:jc w:val="right"/>
      </w:pPr>
      <w:r>
        <w:rPr>
          <w:rFonts w:ascii="Arial" w:cs="Arial" w:eastAsia="Arial" w:hAnsi="Arial"/>
          <w:b/>
          <w:bCs/>
          <w:color w:val="1F6B3A"/>
          <w:sz w:val="23"/>
          <w:szCs w:val="23"/>
        </w:rPr>
        <w:t xml:space="preserve">16. </w:t>
      </w:r>
      <w:r>
        <w:rPr>
          <w:rFonts w:ascii="Arial" w:cs="Arial" w:eastAsia="Arial" w:hAnsi="Arial"/>
          <w:color w:val="1a1a1a"/>
          <w:sz w:val="23"/>
          <w:szCs w:val="23"/>
        </w:rPr>
        <w:t xml:space="preserve">يُغسل المنتج النهائي بماء محمّض قليلاً (pH 5–6) لإزالة الرماد السطحي، ثم يُجفَّف.</w:t>
      </w:r>
    </w:p>
    <w:p>
      <w:pPr>
        <w:spacing w:before="80" w:after="80"/>
      </w:pPr>
    </w:p>
    <w:p>
      <w:r>
        <w:br w:type="page"/>
      </w:r>
    </w:p>
    <w:p>
      <w:pPr>
        <w:pBdr>
          <w:bottom w:val="single" w:color="1F6B3A" w:sz="6" w:space="2"/>
          <w:right w:val="single" w:color="1F6B3A" w:sz="18" w:space="8"/>
        </w:pBdr>
        <w:spacing w:before="300" w:after="140"/>
        <w:ind w:right="160"/>
        <w:jc w:val="right"/>
      </w:pPr>
      <w:r>
        <w:rPr>
          <w:rFonts w:ascii="Arial" w:cs="Arial" w:eastAsia="Arial" w:hAnsi="Arial"/>
          <w:b/>
          <w:bCs/>
          <w:color w:val="1F6B3A"/>
          <w:sz w:val="28"/>
          <w:szCs w:val="28"/>
        </w:rPr>
        <w:t xml:space="preserve">سادساً — المطالبات — نطاق الحماية القانونية</w:t>
      </w:r>
    </w:p>
    <w:p>
      <w:pPr>
        <w:spacing w:before="100" w:after="100"/>
        <w:jc w:val="right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يطالب المخترع بحماية العناصر التالية:</w:t>
      </w:r>
    </w:p>
    <w:p>
      <w:pPr>
        <w:spacing w:before="80" w:after="80"/>
      </w:pPr>
    </w:p>
    <w:p>
      <w:pPr>
        <w:spacing w:before="180" w:after="80"/>
        <w:jc w:val="right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المطالبة الرئيسية</w:t>
      </w:r>
    </w:p>
    <w:p>
      <w:pPr>
        <w:spacing w:before="100" w:after="100"/>
        <w:jc w:val="right"/>
      </w:pPr>
      <w:r>
        <w:rPr>
          <w:rFonts w:ascii="Arial" w:cs="Arial" w:eastAsia="Arial" w:hAnsi="Arial"/>
          <w:color w:val="1a1a1a"/>
          <w:sz w:val="23"/>
          <w:szCs w:val="23"/>
        </w:rPr>
        <w:t xml:space="preserve">طريقة إنتاج كربون نشط تتضمن: خلط خمسة مخلفات زراعية بنسب محددة (نوى زيتون 40% + نوى بلح 25% + زعف نخل 15% + ورد نيل مجفف 12% + قش أرز 8%)، وغمرها في محلول حمض الستريك لمدة 12–16 ساعة، ثم غسلها وغمرها في ماء نظيف، ثم تفحيمها بالتسخين المتدرج في جو شبه لاهوائي.</w:t>
      </w:r>
    </w:p>
    <w:p>
      <w:pPr>
        <w:spacing w:before="80" w:after="80"/>
      </w:pPr>
    </w:p>
    <w:p>
      <w:pPr>
        <w:spacing w:before="180" w:after="80"/>
        <w:jc w:val="right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المطالبات الفرعية</w:t>
      </w:r>
    </w:p>
    <w:p>
      <w:pPr>
        <w:spacing w:before="60" w:after="60"/>
        <w:ind w:right="400"/>
        <w:jc w:val="right"/>
      </w:pPr>
      <w:r>
        <w:rPr>
          <w:rFonts w:ascii="Arial" w:cs="Arial" w:eastAsia="Arial" w:hAnsi="Arial"/>
          <w:color w:val="1a1a1a"/>
          <w:sz w:val="23"/>
          <w:szCs w:val="23"/>
        </w:rPr>
        <w:t xml:space="preserve">• المطالبة 2: خليط الخامات الخمسة بالنسب المذكورة بصرف النظر عن طريقة التنشيط.</w:t>
      </w:r>
    </w:p>
    <w:p>
      <w:pPr>
        <w:spacing w:before="60" w:after="60"/>
        <w:ind w:right="400"/>
        <w:jc w:val="right"/>
      </w:pPr>
      <w:r>
        <w:rPr>
          <w:rFonts w:ascii="Arial" w:cs="Arial" w:eastAsia="Arial" w:hAnsi="Arial"/>
          <w:color w:val="1a1a1a"/>
          <w:sz w:val="23"/>
          <w:szCs w:val="23"/>
        </w:rPr>
        <w:t xml:space="preserve">• المطالبة 3: بروتوكول الغمر المزدوج (حمض ستريك ثم ماء طبيعي) لتحضير أي كتلة حيوية للتفحيم.</w:t>
      </w:r>
    </w:p>
    <w:p>
      <w:pPr>
        <w:spacing w:before="60" w:after="60"/>
        <w:ind w:right="400"/>
        <w:jc w:val="right"/>
      </w:pPr>
      <w:r>
        <w:rPr>
          <w:rFonts w:ascii="Arial" w:cs="Arial" w:eastAsia="Arial" w:hAnsi="Arial"/>
          <w:color w:val="1a1a1a"/>
          <w:sz w:val="23"/>
          <w:szCs w:val="23"/>
        </w:rPr>
        <w:t xml:space="preserve">• المطالبة 4: بروتوكول التسخين المتدرج الرباعي المذكور في المرحلة الخامسة.</w:t>
      </w:r>
    </w:p>
    <w:p>
      <w:pPr>
        <w:spacing w:before="60" w:after="60"/>
        <w:ind w:right="400"/>
        <w:jc w:val="right"/>
      </w:pPr>
      <w:r>
        <w:rPr>
          <w:rFonts w:ascii="Arial" w:cs="Arial" w:eastAsia="Arial" w:hAnsi="Arial"/>
          <w:color w:val="1a1a1a"/>
          <w:sz w:val="23"/>
          <w:szCs w:val="23"/>
        </w:rPr>
        <w:t xml:space="preserve">• المطالبة 5: استخدام المنتج الناتج في معالجة المياه وامتصاص المعادن الثقيلة.</w:t>
      </w:r>
    </w:p>
    <w:p>
      <w:pPr>
        <w:spacing w:before="60" w:after="60"/>
        <w:ind w:right="400"/>
        <w:jc w:val="right"/>
      </w:pPr>
      <w:r>
        <w:rPr>
          <w:rFonts w:ascii="Arial" w:cs="Arial" w:eastAsia="Arial" w:hAnsi="Arial"/>
          <w:color w:val="1a1a1a"/>
          <w:sz w:val="23"/>
          <w:szCs w:val="23"/>
        </w:rPr>
        <w:t xml:space="preserve">• المطالبة 6: أي نسبة تجمع ثلاثاً أو أكثر من الخامات الخمسة المذكورة بالبروتوكول ذاته.</w:t>
      </w:r>
    </w:p>
    <w:p>
      <w:pPr>
        <w:spacing w:before="80" w:after="80"/>
      </w:pPr>
    </w:p>
    <w:p>
      <w:pPr>
        <w:pBdr>
          <w:bottom w:val="single" w:color="1F6B3A" w:sz="6" w:space="2"/>
          <w:right w:val="single" w:color="1F6B3A" w:sz="18" w:space="8"/>
        </w:pBdr>
        <w:spacing w:before="300" w:after="140"/>
        <w:ind w:right="160"/>
        <w:jc w:val="right"/>
      </w:pPr>
      <w:r>
        <w:rPr>
          <w:rFonts w:ascii="Arial" w:cs="Arial" w:eastAsia="Arial" w:hAnsi="Arial"/>
          <w:b/>
          <w:bCs/>
          <w:color w:val="1F6B3A"/>
          <w:sz w:val="28"/>
          <w:szCs w:val="28"/>
        </w:rPr>
        <w:t xml:space="preserve">سابعاً — الدليل العملي على الاختراع</w:t>
      </w:r>
    </w:p>
    <w:p>
      <w:pPr>
        <w:spacing w:before="100" w:after="100"/>
        <w:jc w:val="right"/>
      </w:pPr>
      <w:r>
        <w:rPr>
          <w:rFonts w:ascii="Arial" w:cs="Arial" w:eastAsia="Arial" w:hAnsi="Arial"/>
          <w:color w:val="1a1a1a"/>
          <w:sz w:val="23"/>
          <w:szCs w:val="23"/>
        </w:rPr>
        <w:t xml:space="preserve">أثبت المخترع جدوى هذا الاختراع في تجربة ميدانية فعلية أُجريت عام 2020 خلال أزمة كوفيد-19 في المملكة العربية السعودية، حيث:</w:t>
      </w:r>
    </w:p>
    <w:p>
      <w:pPr>
        <w:spacing w:before="60" w:after="60"/>
        <w:ind w:right="400"/>
        <w:jc w:val="right"/>
      </w:pPr>
      <w:r>
        <w:rPr>
          <w:rFonts w:ascii="Arial" w:cs="Arial" w:eastAsia="Arial" w:hAnsi="Arial"/>
          <w:color w:val="1a1a1a"/>
          <w:sz w:val="23"/>
          <w:szCs w:val="23"/>
        </w:rPr>
        <w:t xml:space="preserve">• أُنتج الكربون النشط في ظروف ميدانية بدائية (براميل معدنية في موقع مفتوح).</w:t>
      </w:r>
    </w:p>
    <w:p>
      <w:pPr>
        <w:spacing w:before="60" w:after="60"/>
        <w:ind w:right="400"/>
        <w:jc w:val="right"/>
      </w:pPr>
      <w:r>
        <w:rPr>
          <w:rFonts w:ascii="Arial" w:cs="Arial" w:eastAsia="Arial" w:hAnsi="Arial"/>
          <w:color w:val="1a1a1a"/>
          <w:sz w:val="23"/>
          <w:szCs w:val="23"/>
        </w:rPr>
        <w:t xml:space="preserve">• تجاوز المنتج في جودته الكربون النشط الهندي المستورد وفق شهادة العميل الفعلي.</w:t>
      </w:r>
    </w:p>
    <w:p>
      <w:pPr>
        <w:spacing w:before="60" w:after="60"/>
        <w:ind w:right="400"/>
        <w:jc w:val="right"/>
      </w:pPr>
      <w:r>
        <w:rPr>
          <w:rFonts w:ascii="Arial" w:cs="Arial" w:eastAsia="Arial" w:hAnsi="Arial"/>
          <w:color w:val="1a1a1a"/>
          <w:sz w:val="23"/>
          <w:szCs w:val="23"/>
        </w:rPr>
        <w:t xml:space="preserve">• أفضى الاستخدام الناجح إلى طلب وكالة تجارية رسمية بعد عام كامل من التطبيق.</w:t>
      </w:r>
    </w:p>
    <w:p>
      <w:pPr>
        <w:spacing w:before="60" w:after="60"/>
        <w:ind w:right="400"/>
        <w:jc w:val="right"/>
      </w:pPr>
      <w:r>
        <w:rPr>
          <w:rFonts w:ascii="Arial" w:cs="Arial" w:eastAsia="Arial" w:hAnsi="Arial"/>
          <w:color w:val="1a1a1a"/>
          <w:sz w:val="23"/>
          <w:szCs w:val="23"/>
        </w:rPr>
        <w:t xml:space="preserve">• استُخدم المنتج في تحسين جودة المياه في محطات ومسابح الشركة.</w:t>
      </w:r>
    </w:p>
    <w:p>
      <w:pPr>
        <w:spacing w:before="80" w:after="80"/>
      </w:pPr>
    </w:p>
    <w:p>
      <w:pPr>
        <w:spacing w:before="100" w:after="100"/>
        <w:jc w:val="right"/>
      </w:pPr>
      <w:r>
        <w:rPr>
          <w:rFonts w:ascii="Arial" w:cs="Arial" w:eastAsia="Arial" w:hAnsi="Arial"/>
          <w:i/>
          <w:iCs/>
          <w:color w:val="555555"/>
          <w:sz w:val="23"/>
          <w:szCs w:val="23"/>
        </w:rPr>
        <w:t xml:space="preserve">هذا الدليل الميداني يُثبت إمكانية تطبيق الاختراع في الواقع (Industrial Applicability) وهو أحد شروط منح البراءة.</w:t>
      </w:r>
    </w:p>
    <w:p>
      <w:pPr>
        <w:spacing w:before="80" w:after="80"/>
      </w:pPr>
    </w:p>
    <w:p>
      <w:pPr>
        <w:pBdr>
          <w:bottom w:val="single" w:color="1F6B3A" w:sz="6" w:space="2"/>
          <w:right w:val="single" w:color="1F6B3A" w:sz="18" w:space="8"/>
        </w:pBdr>
        <w:spacing w:before="300" w:after="140"/>
        <w:ind w:right="160"/>
        <w:jc w:val="right"/>
      </w:pPr>
      <w:r>
        <w:rPr>
          <w:rFonts w:ascii="Arial" w:cs="Arial" w:eastAsia="Arial" w:hAnsi="Arial"/>
          <w:b/>
          <w:bCs/>
          <w:color w:val="1F6B3A"/>
          <w:sz w:val="28"/>
          <w:szCs w:val="28"/>
        </w:rPr>
        <w:t xml:space="preserve">ثامناً — المزايا التقنية والاقتصادية للاختراع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6B3A"/>
                <w:sz w:val="22"/>
                <w:szCs w:val="22"/>
              </w:rPr>
              <w:t xml:space="preserve">الميزة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6B3A"/>
                <w:sz w:val="22"/>
                <w:szCs w:val="22"/>
              </w:rPr>
              <w:t xml:space="preserve">التفاصيل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جودة المنتج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Iodine Number متوقع 700–850 mg/g — يتجاوز المعيار الدولي Grade B (500+)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التوزيع المسامي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Bimodal — Micropores من النوى + Mesopores من القش والزعف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تكلفة الخامات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شبه صفر — مخلفات زراعية مُهدرة أو مشكلة بيئية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الأثر البيئي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يحل 5 مشكلات بيئية في آنٍ واحد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الأمن القومي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يوقف استيراد $15–20 مليون سنوياً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قابلية التطبيق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مُثبت ميدانياً بأبسط المعدات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التنافسية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أرخص 55–70% من المنتج الهندي المستورد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Bdr>
          <w:bottom w:val="single" w:color="1F6B3A" w:sz="6" w:space="2"/>
          <w:right w:val="single" w:color="1F6B3A" w:sz="18" w:space="8"/>
        </w:pBdr>
        <w:spacing w:before="300" w:after="140"/>
        <w:ind w:right="160"/>
        <w:jc w:val="right"/>
      </w:pPr>
      <w:r>
        <w:rPr>
          <w:rFonts w:ascii="Arial" w:cs="Arial" w:eastAsia="Arial" w:hAnsi="Arial"/>
          <w:b/>
          <w:bCs/>
          <w:color w:val="1F6B3A"/>
          <w:sz w:val="28"/>
          <w:szCs w:val="28"/>
        </w:rPr>
        <w:t xml:space="preserve">تاسعاً — الملخص التقني (Abstract)</w:t>
      </w:r>
    </w:p>
    <w:p>
      <w:pPr>
        <w:pBdr>
          <w:top w:val="single" w:color="CCCCCC" w:sz="2" w:space="4"/>
          <w:bottom w:val="single" w:color="CCCCCC" w:sz="2" w:space="4"/>
          <w:left w:val="single" w:color="1F6B3A" w:sz="8" w:space="6"/>
          <w:right w:val="single" w:color="1F6B3A" w:sz="8" w:space="6"/>
        </w:pBdr>
        <w:spacing w:before="120" w:after="120"/>
        <w:ind w:left="200" w:right="200"/>
        <w:jc w:val="righ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يكشف هذا الاختراع عن طريقة لإنتاج كربون نشط عالي الجودة من خليط خمسة مخلفات زراعية مصرية (نوى زيتون 40%، نوى بلح 25%، زعف نخل 15%، ورد نيل مجفف 12%، قش أرز 8%) باستخدام بروتوكول غمر متتالٍ من مرحلتين: الأولى كيميائية بمحلول حمض الستريك 10–15% لمدة 12–16 ساعة، والثانية حيوية بماء طبيعي لمدة 3–4 ساعات، يعقبهما تجفيف كامل وتفحيم متدرج في جو شبه لاهوائي عند 400–550°C. ينتج عن هذه الطريقة كربون نشط ذو توزيع مسامي ثنائي النمط (Bimodal Pore Distribution) يتميز بأداء امتصاصي يفوق الكربون النشط المستورد من الكوك الهندي، بتكلفة إنتاج أقل بنسبة 55–70%، مع إسهامه في حل خمس مشكلات بيئية مصرية قائمة.</w:t>
      </w:r>
    </w:p>
    <w:p>
      <w:pPr>
        <w:spacing w:before="80" w:after="80"/>
      </w:pPr>
    </w:p>
    <w:p>
      <w:pPr>
        <w:spacing w:before="80" w:after="80"/>
      </w:pPr>
    </w:p>
    <w:p>
      <w:pPr>
        <w:spacing w:before="300" w:after="100"/>
        <w:jc w:val="right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المخترع:</w:t>
      </w:r>
    </w:p>
    <w:p>
      <w:pPr>
        <w:spacing w:before="100" w:after="100"/>
        <w:jc w:val="right"/>
      </w:pPr>
      <w:r>
        <w:rPr>
          <w:rFonts w:ascii="Arial" w:cs="Arial" w:eastAsia="Arial" w:hAnsi="Arial"/>
          <w:color w:val="1a1a1a"/>
          <w:sz w:val="23"/>
          <w:szCs w:val="23"/>
        </w:rPr>
        <w:t xml:space="preserve">الاسم: د. خالد</w:t>
      </w:r>
    </w:p>
    <w:p>
      <w:pPr>
        <w:spacing w:before="100" w:after="100"/>
        <w:jc w:val="right"/>
      </w:pPr>
      <w:r>
        <w:rPr>
          <w:rFonts w:ascii="Arial" w:cs="Arial" w:eastAsia="Arial" w:hAnsi="Arial"/>
          <w:color w:val="1a1a1a"/>
          <w:sz w:val="23"/>
          <w:szCs w:val="23"/>
        </w:rPr>
        <w:t xml:space="preserve">التاريخ: مارس 2026</w:t>
      </w:r>
    </w:p>
    <w:p>
      <w:pPr>
        <w:spacing w:before="100" w:after="100"/>
        <w:jc w:val="right"/>
      </w:pPr>
      <w:r>
        <w:rPr>
          <w:rFonts w:ascii="Arial" w:cs="Arial" w:eastAsia="Arial" w:hAnsi="Arial"/>
          <w:color w:val="1a1a1a"/>
          <w:sz w:val="23"/>
          <w:szCs w:val="23"/>
        </w:rPr>
        <w:t xml:space="preserve">التوقيع: ________________________</w:t>
      </w:r>
    </w:p>
    <w:p>
      <w:pPr>
        <w:spacing w:before="80" w:after="80"/>
      </w:pPr>
    </w:p>
    <w:p>
      <w:pPr>
        <w:spacing w:before="80" w:after="80"/>
      </w:pPr>
    </w:p>
    <w:p>
      <w:pPr>
        <w:pBdr>
          <w:top w:val="single" w:color="1F6B3A" w:sz="4" w:space="4"/>
        </w:pBdr>
        <w:spacing w:before="200" w:after="0"/>
        <w:jc w:val="center"/>
      </w:pPr>
      <w:r>
        <w:rPr>
          <w:rFonts w:ascii="Arial" w:cs="Arial" w:eastAsia="Arial" w:hAnsi="Arial"/>
          <w:i/>
          <w:iCs/>
          <w:color w:val="1F6B3A"/>
          <w:sz w:val="22"/>
          <w:szCs w:val="22"/>
        </w:rPr>
        <w:t xml:space="preserve">"نعمر الأرض بعلم صادق وعمل حقيقي" — بإذن الله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2026-03-30T03:36:10.058Z</dcterms:created>
  <dcterms:modified xsi:type="dcterms:W3CDTF">2026-03-30T03:36:10.058Z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