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jc w:val="center"/>
      </w:pPr>
      <w:r>
        <w:rPr>
          <w:rFonts w:ascii="Segoe UI Emoji" w:cs="Segoe UI Emoji" w:eastAsia="Segoe UI Emoji" w:hAnsi="Segoe UI Emoji"/>
          <w:sz w:val="80"/>
          <w:szCs w:val="80"/>
        </w:rPr>
        <w:t xml:space="preserve">🌿</w:t>
      </w:r>
    </w:p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5C2A"/>
          <w:sz w:val="52"/>
          <w:szCs w:val="52"/>
        </w:rPr>
        <w:t xml:space="preserve">دراسة الجدوى الشاملة</w:t>
      </w:r>
    </w:p>
    <w:p>
      <w:pPr>
        <w:spacing w:after="0" w:before="80"/>
      </w:pPr>
    </w:p>
    <w:p>
      <w:pPr>
        <w:pBdr>
          <w:top w:val="single" w:color="B8860B" w:sz="6" w:space="6"/>
          <w:bottom w:val="single" w:color="B8860B" w:sz="6" w:space="6"/>
        </w:pBdr>
        <w:spacing w:after="80" w:before="80"/>
        <w:jc w:val="center"/>
      </w:pPr>
      <w:r>
        <w:rPr>
          <w:rFonts w:ascii="Arial" w:cs="Arial" w:eastAsia="Arial" w:hAnsi="Arial"/>
          <w:b/>
          <w:bCs/>
          <w:color w:val="B8860B"/>
          <w:sz w:val="40"/>
          <w:szCs w:val="40"/>
        </w:rPr>
        <w:t xml:space="preserve">نظام الألواح الشمسية الذكية متعددة الأوجه</w:t>
      </w:r>
    </w:p>
    <w:p>
      <w:pPr>
        <w:spacing w:after="0" w:before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2D8A47"/>
          <w:sz w:val="26"/>
          <w:szCs w:val="26"/>
        </w:rPr>
        <w:t xml:space="preserve">FENDY SOLAR SMART PANEL™  |  نظام LotusBifacial</w:t>
      </w:r>
    </w:p>
    <w:p>
      <w:pPr>
        <w:spacing w:after="0" w:before="400"/>
      </w:pPr>
    </w:p>
    <w:p>
      <w:pPr>
        <w:shd w:fill="E8F5EC" w:val="clear"/>
        <w:spacing w:after="120" w:before="120"/>
        <w:jc w:val="center"/>
      </w:pPr>
      <w:r>
        <w:rPr>
          <w:rFonts w:ascii="Arial" w:cs="Arial" w:eastAsia="Arial" w:hAnsi="Arial"/>
          <w:b/>
          <w:bCs/>
          <w:color w:val="1A5C2A"/>
          <w:sz w:val="30"/>
          <w:szCs w:val="30"/>
        </w:rPr>
        <w:t xml:space="preserve">مُعَدٌّ لسيادة المهندس  /  ياسر عمر</w:t>
      </w: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حزب مستقبل وطن  |  لجنة الطاقة والبيئة</w:t>
      </w:r>
    </w:p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يونيو 2025</w:t>
      </w:r>
    </w:p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إعداد:  مؤسسة هونست فندي للابتكارات والحلول الرقمية</w:t>
      </w:r>
    </w:p>
    <w:p>
      <w:r>
        <w:br w:type="page"/>
      </w:r>
    </w:p>
    <w:p>
      <w:pPr>
        <w:pStyle w:val="Heading1"/>
        <w:shd w:fill="1A5C2A" w:val="clear"/>
        <w:spacing w:after="160" w:before="280"/>
        <w:jc w:val="right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أولاً: الملخص التنفيذي</w:t>
      </w:r>
    </w:p>
    <w:p>
      <w:pPr>
        <w:spacing w:after="0" w:before="80"/>
      </w:pP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تُقدِّم هذه الدراسة رؤية متكاملة لمشروع تصنيع ألواح طاقة شمسية ذكية متعددة الأوجه مُصمَّمة خصيصاً للبيئة الصحراوية المصرية، وتتوافق توافقاً مباشراً مع:</w:t>
      </w:r>
    </w:p>
    <w:p>
      <w:pPr>
        <w:spacing w:after="0" w:before="40"/>
      </w:pPr>
    </w:p>
    <w:p>
      <w:pPr>
        <w:spacing w:after="40" w:before="40"/>
        <w:ind w:right="360"/>
        <w:jc w:val="right"/>
      </w:pPr>
      <w:r>
        <w:rPr>
          <w:rFonts w:ascii="Arial" w:cs="Arial" w:eastAsia="Arial" w:hAnsi="Arial"/>
          <w:color w:val="2D8A47"/>
          <w:sz w:val="20"/>
          <w:szCs w:val="20"/>
        </w:rPr>
        <w:t xml:space="preserve">◉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استراتيجية مصر للطاقة المتجددة 2035  (هدف 42% من مصادر متجددة)</w:t>
      </w:r>
    </w:p>
    <w:p>
      <w:pPr>
        <w:spacing w:after="40" w:before="40"/>
        <w:ind w:right="360"/>
        <w:jc w:val="right"/>
      </w:pPr>
      <w:r>
        <w:rPr>
          <w:rFonts w:ascii="Arial" w:cs="Arial" w:eastAsia="Arial" w:hAnsi="Arial"/>
          <w:color w:val="2D8A47"/>
          <w:sz w:val="20"/>
          <w:szCs w:val="20"/>
        </w:rPr>
        <w:t xml:space="preserve">◉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مبادرة نُوَفِّي بالالتزامات — COP27 شرم الشيخ</w:t>
      </w:r>
    </w:p>
    <w:p>
      <w:pPr>
        <w:spacing w:after="40" w:before="40"/>
        <w:ind w:right="360"/>
        <w:jc w:val="right"/>
      </w:pPr>
      <w:r>
        <w:rPr>
          <w:rFonts w:ascii="Arial" w:cs="Arial" w:eastAsia="Arial" w:hAnsi="Arial"/>
          <w:color w:val="2D8A47"/>
          <w:sz w:val="20"/>
          <w:szCs w:val="20"/>
        </w:rPr>
        <w:t xml:space="preserve">◉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خطة الدولة لتوطين صناعة الطاقة الشمسية بنسبة 30% بحلول 2027</w:t>
      </w:r>
    </w:p>
    <w:p>
      <w:pPr>
        <w:spacing w:after="40" w:before="40"/>
        <w:ind w:right="360"/>
        <w:jc w:val="right"/>
      </w:pPr>
      <w:r>
        <w:rPr>
          <w:rFonts w:ascii="Arial" w:cs="Arial" w:eastAsia="Arial" w:hAnsi="Arial"/>
          <w:color w:val="2D8A47"/>
          <w:sz w:val="20"/>
          <w:szCs w:val="20"/>
        </w:rPr>
        <w:t xml:space="preserve">◉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برنامج مستقبل وطن للتنمية المستدامة وخفض فاتورة الاستيراد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تكلفة الاستثمار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إنتاج سنوي متوقع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فترة الاسترداد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معدل العائد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50 مليون جنيه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18,000 MWh/سنة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5–6 سنوات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18–22%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shd w:fill="1A5C2A" w:val="clear"/>
        <w:spacing w:after="160" w:before="280"/>
        <w:jc w:val="right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ثانياً: المشكلة — لماذا الألواح التقليدية تفشل في مصر؟</w:t>
      </w:r>
    </w:p>
    <w:p>
      <w:pPr>
        <w:spacing w:after="0" w:before="80"/>
      </w:pP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مصر تمتلك أعلى معدلات الإشعاع الشمسي في العالم (6.4–7.2 kWh/m²/يوم)، لكن الألواح التقليدية المستوردة تُهدر ما يصل إلى 30% من هذه الطاقة بسبب ثلاثة عوامل: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العامل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التأثير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الخسارة السنوية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🌪️ الغبار الصحراوي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تراكم سريع يحجب الإشعاع — خاصة في الصعيد وسيناء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7–12% خسارة شهرياً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🌡️ الحرارة الشديدة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كل زيادة 10°C فوق 25°C تسرق 3.5% من الكفاءة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15–20% خسارة صيفية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☀️ إهدار الوجه الخلفي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الألواح أحادية الوجه تُهدر 15% من الإشعاع المنعكس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10–15% طاقة مفقودة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shd w:fill="1A5C2A" w:val="clear"/>
        <w:spacing w:after="160" w:before="280"/>
        <w:jc w:val="right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ثالثاً: الحل المبتكر — FENDY LotusBifacial™</w:t>
      </w:r>
    </w:p>
    <w:p>
      <w:pPr>
        <w:spacing w:after="0" w:before="80"/>
      </w:pP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نظام متكامل من ثلاث طبقات يعمل معاً كمنظومة واحدة:</w:t>
      </w:r>
    </w:p>
    <w:p>
      <w:pPr>
        <w:spacing w:after="0" w:before="120"/>
      </w:pPr>
    </w:p>
    <w:p>
      <w:pPr>
        <w:pStyle w:val="Heading2"/>
        <w:spacing w:after="120" w:before="200"/>
        <w:jc w:val="right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◆  </w:t>
      </w:r>
      <w:r>
        <w:rPr>
          <w:rFonts w:ascii="Arial" w:cs="Arial" w:eastAsia="Arial" w:hAnsi="Arial"/>
          <w:b/>
          <w:bCs/>
          <w:color w:val="1A5C2A"/>
          <w:sz w:val="26"/>
          <w:szCs w:val="26"/>
        </w:rPr>
        <w:t xml:space="preserve">الطبقة الأولى: طلاء لوتس للوجه الأمامي</w:t>
      </w:r>
    </w:p>
    <w:p>
      <w:pPr>
        <w:spacing w:after="40" w:before="40"/>
        <w:ind w:right="360"/>
        <w:jc w:val="right"/>
      </w:pPr>
      <w:r>
        <w:rPr>
          <w:rFonts w:ascii="Arial" w:cs="Arial" w:eastAsia="Arial" w:hAnsi="Arial"/>
          <w:color w:val="2D8A47"/>
          <w:sz w:val="20"/>
          <w:szCs w:val="20"/>
        </w:rPr>
        <w:t xml:space="preserve">◉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يحاكي سطح ورقة اللوتس — هياكل نانوية دقيقة تجعل السطح فائق الكراهية للماء</w:t>
      </w:r>
    </w:p>
    <w:p>
      <w:pPr>
        <w:spacing w:after="40" w:before="40"/>
        <w:ind w:right="360"/>
        <w:jc w:val="right"/>
      </w:pPr>
      <w:r>
        <w:rPr>
          <w:rFonts w:ascii="Arial" w:cs="Arial" w:eastAsia="Arial" w:hAnsi="Arial"/>
          <w:color w:val="2D8A47"/>
          <w:sz w:val="20"/>
          <w:szCs w:val="20"/>
        </w:rPr>
        <w:t xml:space="preserve">◉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الغبار والأتربة لا تلتصق — تسقط مع أي رطوبة أو هواء خفيف</w:t>
      </w:r>
    </w:p>
    <w:p>
      <w:pPr>
        <w:spacing w:after="40" w:before="40"/>
        <w:ind w:right="360"/>
        <w:jc w:val="right"/>
      </w:pPr>
      <w:r>
        <w:rPr>
          <w:rFonts w:ascii="Arial" w:cs="Arial" w:eastAsia="Arial" w:hAnsi="Arial"/>
          <w:color w:val="2D8A47"/>
          <w:sz w:val="20"/>
          <w:szCs w:val="20"/>
        </w:rPr>
        <w:t xml:space="preserve">◉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يقلل خسائر الغبار من 9% إلى أقل من 2%</w:t>
      </w:r>
    </w:p>
    <w:p>
      <w:pPr>
        <w:spacing w:after="40" w:before="40"/>
        <w:ind w:right="360"/>
        <w:jc w:val="right"/>
      </w:pPr>
      <w:r>
        <w:rPr>
          <w:rFonts w:ascii="Arial" w:cs="Arial" w:eastAsia="Arial" w:hAnsi="Arial"/>
          <w:color w:val="2D8A47"/>
          <w:sz w:val="20"/>
          <w:szCs w:val="20"/>
        </w:rPr>
        <w:t xml:space="preserve">◉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مادة أساسية: سيليكا قش الأرز المصري (متاحة بملايين الأطنان في الدلتا)</w:t>
      </w:r>
    </w:p>
    <w:p>
      <w:pPr>
        <w:spacing w:after="0" w:before="80"/>
      </w:pPr>
    </w:p>
    <w:p>
      <w:pPr>
        <w:pStyle w:val="Heading2"/>
        <w:spacing w:after="120" w:before="200"/>
        <w:jc w:val="right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◆  </w:t>
      </w:r>
      <w:r>
        <w:rPr>
          <w:rFonts w:ascii="Arial" w:cs="Arial" w:eastAsia="Arial" w:hAnsi="Arial"/>
          <w:b/>
          <w:bCs/>
          <w:color w:val="1A5C2A"/>
          <w:sz w:val="26"/>
          <w:szCs w:val="26"/>
        </w:rPr>
        <w:t xml:space="preserve">الطبقة الثانية: لوح ثنائي الوجه Bifacial</w:t>
      </w:r>
    </w:p>
    <w:p>
      <w:pPr>
        <w:spacing w:after="40" w:before="40"/>
        <w:ind w:right="360"/>
        <w:jc w:val="right"/>
      </w:pPr>
      <w:r>
        <w:rPr>
          <w:rFonts w:ascii="Arial" w:cs="Arial" w:eastAsia="Arial" w:hAnsi="Arial"/>
          <w:color w:val="2D8A47"/>
          <w:sz w:val="20"/>
          <w:szCs w:val="20"/>
        </w:rPr>
        <w:t xml:space="preserve">◉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الوجه الخلفي للوح يستقبل الإشعاع المنعكس من الأرض</w:t>
      </w:r>
    </w:p>
    <w:p>
      <w:pPr>
        <w:spacing w:after="40" w:before="40"/>
        <w:ind w:right="360"/>
        <w:jc w:val="right"/>
      </w:pPr>
      <w:r>
        <w:rPr>
          <w:rFonts w:ascii="Arial" w:cs="Arial" w:eastAsia="Arial" w:hAnsi="Arial"/>
          <w:color w:val="2D8A47"/>
          <w:sz w:val="20"/>
          <w:szCs w:val="20"/>
        </w:rPr>
        <w:t xml:space="preserve">◉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يضيف 8–15% طاقة إضافية من نفس المساحة</w:t>
      </w:r>
    </w:p>
    <w:p>
      <w:pPr>
        <w:spacing w:after="40" w:before="40"/>
        <w:ind w:right="360"/>
        <w:jc w:val="right"/>
      </w:pPr>
      <w:r>
        <w:rPr>
          <w:rFonts w:ascii="Arial" w:cs="Arial" w:eastAsia="Arial" w:hAnsi="Arial"/>
          <w:color w:val="2D8A47"/>
          <w:sz w:val="20"/>
          <w:szCs w:val="20"/>
        </w:rPr>
        <w:t xml:space="preserve">◉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تقنية مثبتة علمياً ومستخدمة في أكبر محطات العالم</w:t>
      </w:r>
    </w:p>
    <w:p>
      <w:pPr>
        <w:spacing w:after="0" w:before="80"/>
      </w:pPr>
    </w:p>
    <w:p>
      <w:pPr>
        <w:pStyle w:val="Heading2"/>
        <w:spacing w:after="120" w:before="200"/>
        <w:jc w:val="right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◆  </w:t>
      </w:r>
      <w:r>
        <w:rPr>
          <w:rFonts w:ascii="Arial" w:cs="Arial" w:eastAsia="Arial" w:hAnsi="Arial"/>
          <w:b/>
          <w:bCs/>
          <w:color w:val="1A5C2A"/>
          <w:sz w:val="26"/>
          <w:szCs w:val="26"/>
        </w:rPr>
        <w:t xml:space="preserve">الطبقة الثالثة: العاكس الأرضي الثابت</w:t>
      </w:r>
    </w:p>
    <w:p>
      <w:pPr>
        <w:spacing w:after="40" w:before="40"/>
        <w:ind w:right="360"/>
        <w:jc w:val="right"/>
      </w:pPr>
      <w:r>
        <w:rPr>
          <w:rFonts w:ascii="Arial" w:cs="Arial" w:eastAsia="Arial" w:hAnsi="Arial"/>
          <w:color w:val="2D8A47"/>
          <w:sz w:val="20"/>
          <w:szCs w:val="20"/>
        </w:rPr>
        <w:t xml:space="preserve">◉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بديل ذكي للرمال البيضاء — ألواح عاكسة مثبتة تحت الألواح</w:t>
      </w:r>
    </w:p>
    <w:p>
      <w:pPr>
        <w:spacing w:after="40" w:before="40"/>
        <w:ind w:right="360"/>
        <w:jc w:val="right"/>
      </w:pPr>
      <w:r>
        <w:rPr>
          <w:rFonts w:ascii="Arial" w:cs="Arial" w:eastAsia="Arial" w:hAnsi="Arial"/>
          <w:color w:val="2D8A47"/>
          <w:sz w:val="20"/>
          <w:szCs w:val="20"/>
        </w:rPr>
        <w:t xml:space="preserve">◉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تعكس الإشعاع على الوجه الخلفي بزاوية محسوبة</w:t>
      </w:r>
    </w:p>
    <w:p>
      <w:pPr>
        <w:spacing w:after="40" w:before="40"/>
        <w:ind w:right="360"/>
        <w:jc w:val="right"/>
      </w:pPr>
      <w:r>
        <w:rPr>
          <w:rFonts w:ascii="Arial" w:cs="Arial" w:eastAsia="Arial" w:hAnsi="Arial"/>
          <w:color w:val="2D8A47"/>
          <w:sz w:val="20"/>
          <w:szCs w:val="20"/>
        </w:rPr>
        <w:t xml:space="preserve">◉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لا تتحرك بالريح — ثابتة ومعايرة هندسياً</w:t>
      </w:r>
    </w:p>
    <w:p>
      <w:pPr>
        <w:spacing w:after="40" w:before="40"/>
        <w:ind w:right="360"/>
        <w:jc w:val="right"/>
      </w:pPr>
      <w:r>
        <w:rPr>
          <w:rFonts w:ascii="Arial" w:cs="Arial" w:eastAsia="Arial" w:hAnsi="Arial"/>
          <w:color w:val="2D8A47"/>
          <w:sz w:val="20"/>
          <w:szCs w:val="20"/>
        </w:rPr>
        <w:t xml:space="preserve">◉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يمكن تصنيعها من مواد محلية: ألومنيوم مصري أو بوليمر معاد تدويره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B8860B" w:sz="20"/>
              <w:bottom w:val="single" w:color="CCCCCC" w:sz="1"/>
              <w:right w:val="single" w:color="CCCCCC" w:sz="1"/>
            </w:tcBorders>
            <w:shd w:fill="FFF8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8860B"/>
                <w:sz w:val="24"/>
                <w:szCs w:val="24"/>
              </w:rPr>
              <w:t xml:space="preserve">القيمة الاختراعية: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التركيبة المتكاملة لهذه الطبقات الثلاث كنظام واحد هي الاختراع — وليس كل طبقة بمفردها. هذا التكامل في بيئة الصحراء المصرية قابل لتسجيل براءة اختراع في مكتب براءات الاختراع المصري (EGPO) وكذلك WIPO.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shd w:fill="1A5C2A" w:val="clear"/>
        <w:spacing w:after="160" w:before="280"/>
        <w:jc w:val="right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رابعاً: السوق والفرصة</w:t>
      </w:r>
    </w:p>
    <w:p>
      <w:pPr>
        <w:spacing w:after="0" w:before="80"/>
      </w:pPr>
    </w:p>
    <w:p>
      <w:pPr>
        <w:pStyle w:val="Heading2"/>
        <w:spacing w:after="120" w:before="200"/>
        <w:jc w:val="right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◆  </w:t>
      </w:r>
      <w:r>
        <w:rPr>
          <w:rFonts w:ascii="Arial" w:cs="Arial" w:eastAsia="Arial" w:hAnsi="Arial"/>
          <w:b/>
          <w:bCs/>
          <w:color w:val="1A5C2A"/>
          <w:sz w:val="26"/>
          <w:szCs w:val="26"/>
        </w:rPr>
        <w:t xml:space="preserve">حجم السوق المصري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القطاع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الحجم الحالي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الهدف 2030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محطات الكهرباء الكبرى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4,000 MW مركبة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22,000 MW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الطاقة الموزعة (مساكن/تجاري)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800 MW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8,000 MW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المضخات الزراعية الشمسية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120,000 مضخة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500,000 مضخة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المصانع والمناطق الصناعية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 MW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5,000 MW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00"/>
        <w:jc w:val="right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◆  </w:t>
      </w:r>
      <w:r>
        <w:rPr>
          <w:rFonts w:ascii="Arial" w:cs="Arial" w:eastAsia="Arial" w:hAnsi="Arial"/>
          <w:b/>
          <w:bCs/>
          <w:color w:val="1A5C2A"/>
          <w:sz w:val="26"/>
          <w:szCs w:val="26"/>
        </w:rPr>
        <w:t xml:space="preserve">التوافق مع رؤية الدولة</w:t>
      </w:r>
    </w:p>
    <w:p>
      <w:pPr>
        <w:spacing w:after="40" w:before="40"/>
        <w:ind w:right="360"/>
        <w:jc w:val="right"/>
      </w:pPr>
      <w:r>
        <w:rPr>
          <w:rFonts w:ascii="Arial" w:cs="Arial" w:eastAsia="Arial" w:hAnsi="Arial"/>
          <w:b/>
          <w:bCs/>
          <w:color w:val="2D8A47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استراتيجية الطاقة المتجددة 2035 — هدف 42% طاقة متجددة</w:t>
      </w:r>
    </w:p>
    <w:p>
      <w:pPr>
        <w:spacing w:after="40" w:before="40"/>
        <w:ind w:right="360"/>
        <w:jc w:val="right"/>
      </w:pPr>
      <w:r>
        <w:rPr>
          <w:rFonts w:ascii="Arial" w:cs="Arial" w:eastAsia="Arial" w:hAnsi="Arial"/>
          <w:b/>
          <w:bCs/>
          <w:color w:val="2D8A47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خطة توطين الصناعة — تقليل الاستيراد وتشغيل العمالة المصرية</w:t>
      </w:r>
    </w:p>
    <w:p>
      <w:pPr>
        <w:spacing w:after="40" w:before="40"/>
        <w:ind w:right="360"/>
        <w:jc w:val="right"/>
      </w:pPr>
      <w:r>
        <w:rPr>
          <w:rFonts w:ascii="Arial" w:cs="Arial" w:eastAsia="Arial" w:hAnsi="Arial"/>
          <w:b/>
          <w:bCs/>
          <w:color w:val="2D8A47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مبادرة حياة كريمة — توفير طاقة رخيصة للريف والصعيد</w:t>
      </w:r>
    </w:p>
    <w:p>
      <w:pPr>
        <w:spacing w:after="40" w:before="40"/>
        <w:ind w:right="360"/>
        <w:jc w:val="right"/>
      </w:pPr>
      <w:r>
        <w:rPr>
          <w:rFonts w:ascii="Arial" w:cs="Arial" w:eastAsia="Arial" w:hAnsi="Arial"/>
          <w:b/>
          <w:bCs/>
          <w:color w:val="2D8A47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التحول الأخضر — خفض انبعاثات CO₂ بما يتوافق مع التزامات COP27</w:t>
      </w:r>
    </w:p>
    <w:p>
      <w:pPr>
        <w:spacing w:after="40" w:before="40"/>
        <w:ind w:right="360"/>
        <w:jc w:val="right"/>
      </w:pPr>
      <w:r>
        <w:rPr>
          <w:rFonts w:ascii="Arial" w:cs="Arial" w:eastAsia="Arial" w:hAnsi="Arial"/>
          <w:b/>
          <w:bCs/>
          <w:color w:val="2D8A47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محور قناة السويس — مشاريع طاقة خضراء لتشغيل المناطق اللوجستية</w:t>
      </w:r>
    </w:p>
    <w:p>
      <w:pPr>
        <w:spacing w:after="0" w:before="80"/>
      </w:pPr>
    </w:p>
    <w:p>
      <w:r>
        <w:br w:type="page"/>
      </w:r>
    </w:p>
    <w:p>
      <w:pPr>
        <w:pStyle w:val="Heading1"/>
        <w:shd w:fill="1A5C2A" w:val="clear"/>
        <w:spacing w:after="160" w:before="280"/>
        <w:jc w:val="right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خامساً: الدراسة المالية</w:t>
      </w:r>
    </w:p>
    <w:p>
      <w:pPr>
        <w:spacing w:after="0" w:before="80"/>
      </w:pPr>
    </w:p>
    <w:p>
      <w:pPr>
        <w:pStyle w:val="Heading2"/>
        <w:spacing w:after="120" w:before="200"/>
        <w:jc w:val="right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◆  </w:t>
      </w:r>
      <w:r>
        <w:rPr>
          <w:rFonts w:ascii="Arial" w:cs="Arial" w:eastAsia="Arial" w:hAnsi="Arial"/>
          <w:b/>
          <w:bCs/>
          <w:color w:val="1A5C2A"/>
          <w:sz w:val="26"/>
          <w:szCs w:val="26"/>
        </w:rPr>
        <w:t xml:space="preserve">تكاليف الاستثمار الأولي — مشروع نموذجي 5 MW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البند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التكلفة (مليون جنيه)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النسبة 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خط إنتاج الطلاء النانوي (لوتس)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منظومة تصنيع الألواح ثنائية الوجه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36%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خط تصنيع العاكسات الأرضية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مبنى المصنع والبنية التحتية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تجهيزات المعمل والاختبار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رأس المال العامل (6 أشهر)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C2A"/>
                <w:sz w:val="22"/>
                <w:szCs w:val="22"/>
              </w:rPr>
              <w:t xml:space="preserve">الإجمالي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2"/>
                <w:szCs w:val="22"/>
              </w:rPr>
              <w:t xml:space="preserve">50.0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2"/>
                <w:szCs w:val="22"/>
              </w:rPr>
              <w:t xml:space="preserve">100%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00"/>
        <w:jc w:val="right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◆  </w:t>
      </w:r>
      <w:r>
        <w:rPr>
          <w:rFonts w:ascii="Arial" w:cs="Arial" w:eastAsia="Arial" w:hAnsi="Arial"/>
          <w:b/>
          <w:bCs/>
          <w:color w:val="1A5C2A"/>
          <w:sz w:val="26"/>
          <w:szCs w:val="26"/>
        </w:rPr>
        <w:t xml:space="preserve">الإيرادات والعوائد المتوقعة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2925"/>
        <w:gridCol w:w="2925"/>
      </w:tblGrid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المؤشر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السنة الأولى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السنة الخامسة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إنتاج الألواح الشمسية (MW)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MW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MW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إيرادات بيع الألواح (مليون جنيه)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توفير الطاقة للمصنع ذاته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1.5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4.5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عقود الصيانة والطلاء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إجمالي الإيرادات السنوية (مليون جنيه)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27.5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132.5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صافي الربح السنوي (مليون جنيه)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6.5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38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معدل العائد على الاستثمار (ROI)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13%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76%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shd w:fill="1A5C2A" w:val="clear"/>
        <w:spacing w:after="160" w:before="280"/>
        <w:jc w:val="right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سادساً: المواصفات الفنية والمزايا التنافسية</w:t>
      </w:r>
    </w:p>
    <w:p>
      <w:pPr>
        <w:spacing w:after="0" w:before="80"/>
      </w:pPr>
    </w:p>
    <w:p>
      <w:pPr>
        <w:pStyle w:val="Heading2"/>
        <w:spacing w:after="120" w:before="200"/>
        <w:jc w:val="right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◆  </w:t>
      </w:r>
      <w:r>
        <w:rPr>
          <w:rFonts w:ascii="Arial" w:cs="Arial" w:eastAsia="Arial" w:hAnsi="Arial"/>
          <w:b/>
          <w:bCs/>
          <w:color w:val="1A5C2A"/>
          <w:sz w:val="26"/>
          <w:szCs w:val="26"/>
        </w:rPr>
        <w:t xml:space="preserve">مقارنة مع الألواح التقليدية المستوردة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المعيار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الألواح المستوردة التقليدية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FENDY LotusBifacial™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الكفاءة في درجة 25°C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20–21%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21–22%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الكفاءة في الصيف المصري (40°C+)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14–16%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17–19%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خسارة الغبار شهرياً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7–9%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أقل من 2%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استيعاب الإشعاع الخلفي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لا يوجد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+8–12%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دورة التنظيف المطلوبة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كل 15 يوماً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كل 60 يوماً أو أكثر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نسبة المكون المحلي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أقل من 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40–60%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ضمان الأداء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 سنة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25 سنة + ضمان طلاء 10 سنوات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00"/>
        <w:jc w:val="right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◆  </w:t>
      </w:r>
      <w:r>
        <w:rPr>
          <w:rFonts w:ascii="Arial" w:cs="Arial" w:eastAsia="Arial" w:hAnsi="Arial"/>
          <w:b/>
          <w:bCs/>
          <w:color w:val="1A5C2A"/>
          <w:sz w:val="26"/>
          <w:szCs w:val="26"/>
        </w:rPr>
        <w:t xml:space="preserve">المواد المصرية المستخدمة</w:t>
      </w:r>
    </w:p>
    <w:p>
      <w:pPr>
        <w:spacing w:after="40" w:before="40"/>
        <w:ind w:right="360"/>
        <w:jc w:val="right"/>
      </w:pPr>
      <w:r>
        <w:rPr>
          <w:rFonts w:ascii="Arial" w:cs="Arial" w:eastAsia="Arial" w:hAnsi="Arial"/>
          <w:color w:val="2D8A47"/>
          <w:sz w:val="20"/>
          <w:szCs w:val="20"/>
        </w:rPr>
        <w:t xml:space="preserve">◉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سيليكا قش الأرز (SiO₂) — مصدر محلي متجدد من الدلتا</w:t>
      </w:r>
    </w:p>
    <w:p>
      <w:pPr>
        <w:spacing w:after="40" w:before="40"/>
        <w:ind w:right="360"/>
        <w:jc w:val="right"/>
      </w:pPr>
      <w:r>
        <w:rPr>
          <w:rFonts w:ascii="Arial" w:cs="Arial" w:eastAsia="Arial" w:hAnsi="Arial"/>
          <w:color w:val="2D8A47"/>
          <w:sz w:val="20"/>
          <w:szCs w:val="20"/>
        </w:rPr>
        <w:t xml:space="preserve">◉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رمال بيضاء معالجة — الصحراء الغربية وسيناء</w:t>
      </w:r>
    </w:p>
    <w:p>
      <w:pPr>
        <w:spacing w:after="40" w:before="40"/>
        <w:ind w:right="360"/>
        <w:jc w:val="right"/>
      </w:pPr>
      <w:r>
        <w:rPr>
          <w:rFonts w:ascii="Arial" w:cs="Arial" w:eastAsia="Arial" w:hAnsi="Arial"/>
          <w:color w:val="2D8A47"/>
          <w:sz w:val="20"/>
          <w:szCs w:val="20"/>
        </w:rPr>
        <w:t xml:space="preserve">◉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ألومنيوم مصري — شركة الألومنيوم المصرية (القناة)</w:t>
      </w:r>
    </w:p>
    <w:p>
      <w:pPr>
        <w:spacing w:after="40" w:before="40"/>
        <w:ind w:right="360"/>
        <w:jc w:val="right"/>
      </w:pPr>
      <w:r>
        <w:rPr>
          <w:rFonts w:ascii="Arial" w:cs="Arial" w:eastAsia="Arial" w:hAnsi="Arial"/>
          <w:color w:val="2D8A47"/>
          <w:sz w:val="20"/>
          <w:szCs w:val="20"/>
        </w:rPr>
        <w:t xml:space="preserve">◉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بوليمر معاد تدويره — من منظومة Ward El Kheir للتدوير</w:t>
      </w:r>
    </w:p>
    <w:p>
      <w:pPr>
        <w:spacing w:after="0" w:before="80"/>
      </w:pPr>
    </w:p>
    <w:p>
      <w:r>
        <w:br w:type="page"/>
      </w:r>
    </w:p>
    <w:p>
      <w:pPr>
        <w:pStyle w:val="Heading1"/>
        <w:shd w:fill="1A5C2A" w:val="clear"/>
        <w:spacing w:after="160" w:before="280"/>
        <w:jc w:val="right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سابعاً: خطة التنفيذ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3240"/>
        <w:gridCol w:w="22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المرحلة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الإطار الزمني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الأنشطة الرئيسية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الميزانية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المرحلة الأولى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الأشهر 1–3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التجارب المعملية، تحضير خلطة اللوتس، اختبار الوحدة الأولى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مليون جنيه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المرحلة الثانية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الأشهر 4–8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بناء خط الإنتاج التجريبي، تصنيع 100 لوح نموذجي، الاختبار الميداني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 مليون جنيه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المرحلة الثالثة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الأشهر 9–18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الإنتاج التجاري، التسويق، العقود الحكومية الأولى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 مليون جنيه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المرحلة الرابعة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الأشهر 19–36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التوسع، تصدير للسوق الأفريقي والخليجي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مليون جنيه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shd w:fill="1A5C2A" w:val="clear"/>
        <w:spacing w:after="160" w:before="280"/>
        <w:jc w:val="right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ثامناً: الأثر الاجتماعي والبيئي</w:t>
      </w:r>
    </w:p>
    <w:p>
      <w:pPr>
        <w:spacing w:after="0" w:before="80"/>
      </w:pPr>
    </w:p>
    <w:p>
      <w:pPr>
        <w:pStyle w:val="Heading2"/>
        <w:spacing w:after="120" w:before="200"/>
        <w:jc w:val="right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◆  </w:t>
      </w:r>
      <w:r>
        <w:rPr>
          <w:rFonts w:ascii="Arial" w:cs="Arial" w:eastAsia="Arial" w:hAnsi="Arial"/>
          <w:b/>
          <w:bCs/>
          <w:color w:val="1A5C2A"/>
          <w:sz w:val="26"/>
          <w:szCs w:val="26"/>
        </w:rPr>
        <w:t xml:space="preserve">فرص العمل المباشرة وغير المباشرة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العدد المتوقع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وظائف مباشرة في الإنتاج والبحث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250–400 وظيفة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وظائف غير مباشرة (تركيب، صيانة، توزيع)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1,200+ وظيفة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تدريب مهني للشباب في صعيد مصر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 متدرب سنوياً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00"/>
        <w:jc w:val="right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◆  </w:t>
      </w:r>
      <w:r>
        <w:rPr>
          <w:rFonts w:ascii="Arial" w:cs="Arial" w:eastAsia="Arial" w:hAnsi="Arial"/>
          <w:b/>
          <w:bCs/>
          <w:color w:val="1A5C2A"/>
          <w:sz w:val="26"/>
          <w:szCs w:val="26"/>
        </w:rPr>
        <w:t xml:space="preserve">الأثر البيئي</w:t>
      </w:r>
    </w:p>
    <w:p>
      <w:pPr>
        <w:spacing w:after="40" w:before="40"/>
        <w:ind w:right="360"/>
        <w:jc w:val="right"/>
      </w:pPr>
      <w:r>
        <w:rPr>
          <w:rFonts w:ascii="Arial" w:cs="Arial" w:eastAsia="Arial" w:hAnsi="Arial"/>
          <w:color w:val="2D8A47"/>
          <w:sz w:val="20"/>
          <w:szCs w:val="20"/>
        </w:rPr>
        <w:t xml:space="preserve">◉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تقليل انبعاثات CO₂: كل 1 MW شمسي يوفر ~1,500 طن CO₂/سنة مقارنة بالكهرباء التقليدية</w:t>
      </w:r>
    </w:p>
    <w:p>
      <w:pPr>
        <w:spacing w:after="40" w:before="40"/>
        <w:ind w:right="360"/>
        <w:jc w:val="right"/>
      </w:pPr>
      <w:r>
        <w:rPr>
          <w:rFonts w:ascii="Arial" w:cs="Arial" w:eastAsia="Arial" w:hAnsi="Arial"/>
          <w:color w:val="2D8A47"/>
          <w:sz w:val="20"/>
          <w:szCs w:val="20"/>
        </w:rPr>
        <w:t xml:space="preserve">◉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استخدام قش الأرز كمادة خام يحل مشكلة حرق القش — أحد أسباب الضباب الدخاني</w:t>
      </w:r>
    </w:p>
    <w:p>
      <w:pPr>
        <w:spacing w:after="40" w:before="40"/>
        <w:ind w:right="360"/>
        <w:jc w:val="right"/>
      </w:pPr>
      <w:r>
        <w:rPr>
          <w:rFonts w:ascii="Arial" w:cs="Arial" w:eastAsia="Arial" w:hAnsi="Arial"/>
          <w:color w:val="2D8A47"/>
          <w:sz w:val="20"/>
          <w:szCs w:val="20"/>
        </w:rPr>
        <w:t xml:space="preserve">◉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الألواح ذاتية التنظيف تقلل استهلاك المياه في التنظيف بنسبة 80%</w:t>
      </w:r>
    </w:p>
    <w:p>
      <w:pPr>
        <w:spacing w:after="40" w:before="40"/>
        <w:ind w:right="360"/>
        <w:jc w:val="right"/>
      </w:pPr>
      <w:r>
        <w:rPr>
          <w:rFonts w:ascii="Arial" w:cs="Arial" w:eastAsia="Arial" w:hAnsi="Arial"/>
          <w:color w:val="2D8A47"/>
          <w:sz w:val="20"/>
          <w:szCs w:val="20"/>
        </w:rPr>
        <w:t xml:space="preserve">◉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المواد محلية = تقليل بصمة كربون النقل والشحن الدولي</w:t>
      </w:r>
    </w:p>
    <w:p>
      <w:pPr>
        <w:spacing w:after="0" w:before="80"/>
      </w:pPr>
    </w:p>
    <w:p>
      <w:r>
        <w:br w:type="page"/>
      </w:r>
    </w:p>
    <w:p>
      <w:pPr>
        <w:pStyle w:val="Heading1"/>
        <w:shd w:fill="1A5C2A" w:val="clear"/>
        <w:spacing w:after="160" w:before="280"/>
        <w:jc w:val="right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تاسعاً: التوصيات والخطوات التالية</w:t>
      </w:r>
    </w:p>
    <w:p>
      <w:pPr>
        <w:spacing w:after="0" w:before="80"/>
      </w:pPr>
    </w:p>
    <w:p>
      <w:pPr>
        <w:spacing w:after="60" w:before="60"/>
        <w:jc w:val="right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نوصي بالآتي كخطوات عملية فورية لدعم هذا المشروع: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040"/>
        <w:gridCol w:w="288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التوصية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الجهة المعنية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تخصيص قطعة أرض في المناطق الصناعية الجديدة (الصعيد) لإنشاء وحدة إنتاج تجريبية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هيئة المجتمعات العمرانية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ربط المشروع ببرنامج توطين صناعة الطاقة الشمسية في وزارة الكهرباء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وزارة الكهرباء والطاقة المتجددة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تقديم طلب تمويل من صندوق مصر السيادي أو بنك التنمية الصناعية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الصندوق السيادي المصري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تسجيل براءة الاختراع في مكتب EGPO قبل النشر العلمي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مكتب براءات الاختراع المصري (EGPO)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ربط المشروع بمبادرة حياة كريمة لتوفير طاقة رخيصة للقرى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رئاسة الوزراء — مبادرة حياة كريمة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spacing w:after="0" w:before="400"/>
      </w:pPr>
    </w:p>
    <w:p>
      <w:pPr>
        <w:shd w:fill="1A5C2A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الخلاصة</w:t>
      </w:r>
    </w:p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5C2A"/>
          <w:sz w:val="32"/>
          <w:szCs w:val="32"/>
        </w:rPr>
        <w:t xml:space="preserve">مصر تمتلك الشمس والرمال والعقول</w:t>
      </w:r>
    </w:p>
    <w:p>
      <w:pPr>
        <w:spacing w:after="0" w:before="80"/>
      </w:pPr>
    </w:p>
    <w:p>
      <w:pPr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هذا المشروع يحول الاثنين الأول إلى ثروة — ويُعلي شأن الثالث</w:t>
      </w:r>
    </w:p>
    <w:p>
      <w:pPr>
        <w:spacing w:after="0" w:before="300"/>
      </w:pPr>
    </w:p>
    <w:p>
      <w:pPr>
        <w:pBdr>
          <w:bottom w:val="single" w:color="B8860B" w:sz="8" w:space="1"/>
        </w:pBdr>
        <w:spacing w:after="80" w:before="80"/>
      </w:pPr>
    </w:p>
    <w:p>
      <w:pPr>
        <w:spacing w:after="0" w:before="120"/>
      </w:pPr>
    </w:p>
    <w:p>
      <w:pPr>
        <w:jc w:val="center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للتواصل والشراكة:</w:t>
      </w:r>
    </w:p>
    <w:p>
      <w:pPr>
        <w:spacing w:after="0" w:before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د. خالد عبدالنعيم فندي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مؤسسة هونست فندي للابتكارات والحلول الرقمية</w:t>
      </w:r>
    </w:p>
    <w:p>
      <w:pPr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صعيد مصر  |  Honest Fendy Foundation™  |  2025</w:t>
      </w:r>
    </w:p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C2A" w:sz="4" w:space="6"/>
      </w:pBdr>
      <w:spacing w:after="0" w:before="8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مؤسسة هونست فندي  |  سري وللاستخدام الرسمي فقط  |  صفحة </w:t>
    </w:r>
    <w:r>
      <w:rPr>
        <w:rFonts w:ascii="Arial" w:cs="Arial" w:eastAsia="Arial" w:hAnsi="Arial"/>
        <w:color w:val="1A5C2A"/>
        <w:sz w:val="16"/>
        <w:szCs w:val="16"/>
      </w:rPr>
      <w:t xml:space="preserve">١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C2A" w:sz="4" w:space="6"/>
      </w:pBdr>
      <w:spacing w:after="80" w:before="0"/>
      <w:jc w:val="right"/>
    </w:pPr>
    <w:r>
      <w:rPr>
        <w:rFonts w:ascii="Arial" w:cs="Arial" w:eastAsia="Arial" w:hAnsi="Arial"/>
        <w:color w:val="2D8A47"/>
        <w:sz w:val="18"/>
        <w:szCs w:val="18"/>
      </w:rPr>
      <w:t xml:space="preserve">FENDY LotusBifacial™  |  دراسة الجدوى  |  حزب مستقبل وطن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A5C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2026-06-07T19:32:01.436Z</dcterms:created>
  <dcterms:modified xsi:type="dcterms:W3CDTF">2026-06-07T19:32:01.436Z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