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Larkfield Analytics staff handbook (fictional)</w:t>
      </w:r>
    </w:p>
    <w:p>
      <w:pPr>
        <w:pStyle w:val="Heading1"/>
      </w:pPr>
      <w:r>
        <w:t>Holiday</w:t>
      </w:r>
    </w:p>
    <w:p>
      <w:r>
        <w:t>Full-time staff get 25 days' paid holiday a year plus bank holidays.</w:t>
      </w:r>
    </w:p>
    <w:p>
      <w:pPr>
        <w:pStyle w:val="Heading1"/>
      </w:pPr>
      <w:r>
        <w:t>Pay</w:t>
      </w:r>
    </w:p>
    <w:p>
      <w:r>
        <w:t>You are paid on the last working day of each month. Payslips are on the payroll portal, and your P60 is posted there by 31 May each year.</w:t>
      </w:r>
    </w:p>
    <w:p>
      <w:pPr>
        <w:pStyle w:val="Heading1"/>
      </w:pPr>
      <w:r>
        <w:t>Sick pay</w:t>
      </w:r>
    </w:p>
    <w:p>
      <w:r>
        <w:t>After six months' service, we pay full pay for up to four weeks of sickness a year, then Statutory Sick Pay.</w:t>
      </w:r>
    </w:p>
    <w:p>
      <w:pPr>
        <w:pStyle w:val="Heading1"/>
      </w:pPr>
      <w:r>
        <w:t>Family leave</w:t>
      </w:r>
    </w:p>
    <w:p>
      <w:r>
        <w:t>We pay full pay for the first 12 weeks of maternity leave, then statutory pay. Paternity leave is two weeks at full pay.</w:t>
      </w:r>
    </w:p>
    <w:p>
      <w:pPr>
        <w:pStyle w:val="Heading1"/>
      </w:pPr>
      <w:r>
        <w:t>Benefits</w:t>
      </w:r>
    </w:p>
    <w:p>
      <w:r>
        <w:t>We offer a cycle to work scheme for bikes up to £2,500. We do not currently offer an electric car scheme.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