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Ruteo resiliente de drones BVLOS sobre corredores viales</w:t>
      </w:r>
    </w:p>
    <w:p>
      <w:r>
        <w:rPr>
          <w:i/>
          <w:sz w:val="26"/>
        </w:rPr>
        <w:t>Evaluación rápida de daños post-emergencia en el Gran Valparaíso</w:t>
      </w:r>
    </w:p>
    <w:p>
      <w:pPr>
        <w:pStyle w:val="Heading1"/>
      </w:pPr>
      <w:r>
        <w:t>Problemática</w:t>
      </w:r>
    </w:p>
    <w:p>
      <w:r>
        <w:t>Tras una emergencia (incendio forestal, sismo, temporal) las autoridades necesitan evaluar daños en el territorio en las primeras horas, pero las vías de acceso terrestre suelen estar cortadas, saturadas o ser peligrosas de recorrer, y el personal de rescate es un recurso escaso que no debería exponerse solo para “ver qué pasó”. Un dron operado BVLOS (Beyond Visual Line of Sight, más allá del alcance visual del operador) permitiría cubrir esa evaluación de forma rápida y remota, sin necesidad de que el piloto tenga contacto visual directo con la aeronave en todo momento.</w:t>
      </w:r>
    </w:p>
    <w:p>
      <w:pPr>
        <w:pStyle w:val="Heading1"/>
      </w:pPr>
      <w:r>
        <w:t>Por qué sobre corredores viales y no en línea recta</w:t>
      </w:r>
    </w:p>
    <w:p>
      <w:r>
        <w:t>Se propone que el dron no vuele en trayectoria directa entre dos puntos, sino siguiendo el trazado de la red vial existente, tratada como un grafo geolocalizado (nodos = intersecciones, aristas = tramos de calle). Esta decisión se justificaría en tres frentes:</w:t>
      </w:r>
    </w:p>
    <w:p>
      <w:pPr>
        <w:pStyle w:val="ListNumber"/>
      </w:pPr>
      <w:r>
        <w:rPr>
          <w:b/>
        </w:rPr>
        <w:t xml:space="preserve">Riesgo en tierra: </w:t>
      </w:r>
      <w:r>
        <w:t>volar sobre calles minimiza la probabilidad de que una falla del dron (caída, pérdida de señal) impacte una vivienda o a una persona, a diferencia de sobrevolar zonas edificadas en línea recta.</w:t>
      </w:r>
    </w:p>
    <w:p>
      <w:pPr>
        <w:pStyle w:val="ListNumber"/>
      </w:pPr>
      <w:r>
        <w:rPr>
          <w:b/>
        </w:rPr>
        <w:t xml:space="preserve">Contingencia y aterrizaje de emergencia: </w:t>
      </w:r>
      <w:r>
        <w:t>la calzada ofrece una superficie plana y despejada donde el dron podría aterrizar de emergencia ante una falla, algo que no está garantizado en un trayecto arbitrario.</w:t>
      </w:r>
    </w:p>
    <w:p>
      <w:pPr>
        <w:pStyle w:val="ListNumber"/>
      </w:pPr>
      <w:r>
        <w:rPr>
          <w:b/>
        </w:rPr>
        <w:t xml:space="preserve">Enlace de comando y control (C2): </w:t>
      </w:r>
      <w:r>
        <w:t>si se despliegan antenas repetidoras a lo largo de los corredores viales principales, seguir esas rutas mantendría la línea de vista de radio necesaria para no perder el enlace con el operador.</w:t>
      </w:r>
    </w:p>
    <w:p>
      <w:pPr>
        <w:pStyle w:val="Heading1"/>
      </w:pPr>
      <w:r>
        <w:t>Por qué resiliente</w:t>
      </w:r>
    </w:p>
    <w:p>
      <w:r>
        <w:t>La red vial no sería un grafo estático: se le superpondrían capas de metadata (viento y ráfagas, altura de edificación/obstáculos, densidad de población por manzana) y capas de amenazas geolocalizadas y dinámicas (focos de incendio activo, probabilidad de ignición a 5 días, sismicidad reciente). Estas capas no actuarían todas de la misma forma sobre el grafo: ante un peligro físico inmediato para el dron (un foco de incendio activo, por ejemplo) el sistema penalizaría o eliminaría directamente las aristas cercanas, recalculando una ruta alternativa —usando un algoritmo de k-shortest-paths (Yen) sobre PostGIS/pgRouting— para evitar la zona. En cambio, ante una amenaza que define el objetivo mismo de la misión (como la sismicidad reciente, que señala justamente dónde hay que evaluar daños), el sistema no excluiría la zona sino que la usaría para priorizar hacia dónde volar primero, penalizando únicamente tramos puntuales con riesgo estructural derivado del evento (puentes o taludes potencialmente inestables), sin descartar la zona completa. Esa distinción —evitar el peligro vs. priorizar el objetivo, sin perder de vista los riesgos puntuales dentro de él— es lo que le da el carácter “resiliente” al sistema de ruteo.</w:t>
      </w:r>
    </w:p>
    <w:p>
      <w:pPr>
        <w:pStyle w:val="Heading1"/>
      </w:pPr>
      <w:r>
        <w:t>Fuentes de datos propuestas</w:t>
      </w:r>
    </w:p>
    <w:p>
      <w:r>
        <w:t>Todas con acceso público, sin necesidad de infraestructura propia de sensores: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p>
        </w:tc>
        <w:tc>
          <w:tcPr>
            <w:tcW w:type="dxa" w:w="1234"/>
          </w:tcPr>
          <w:p>
            <w:r>
              <w:rPr>
                <w:b/>
                <w:sz w:val="18"/>
              </w:rPr>
              <w:t>Metadata #1</w:t>
            </w:r>
          </w:p>
        </w:tc>
        <w:tc>
          <w:tcPr>
            <w:tcW w:type="dxa" w:w="1234"/>
          </w:tcPr>
          <w:p>
            <w:r>
              <w:rPr>
                <w:b/>
                <w:sz w:val="18"/>
              </w:rPr>
              <w:t>Metadata #2</w:t>
            </w:r>
          </w:p>
        </w:tc>
        <w:tc>
          <w:tcPr>
            <w:tcW w:type="dxa" w:w="1234"/>
          </w:tcPr>
          <w:p>
            <w:r>
              <w:rPr>
                <w:b/>
                <w:sz w:val="18"/>
              </w:rPr>
              <w:t>Metadata #3</w:t>
            </w:r>
          </w:p>
        </w:tc>
        <w:tc>
          <w:tcPr>
            <w:tcW w:type="dxa" w:w="1234"/>
          </w:tcPr>
          <w:p>
            <w:r>
              <w:rPr>
                <w:b/>
                <w:sz w:val="18"/>
              </w:rPr>
              <w:t>Amenaza #1</w:t>
            </w:r>
          </w:p>
        </w:tc>
        <w:tc>
          <w:tcPr>
            <w:tcW w:type="dxa" w:w="1234"/>
          </w:tcPr>
          <w:p>
            <w:r>
              <w:rPr>
                <w:b/>
                <w:sz w:val="18"/>
              </w:rPr>
              <w:t>Amenaza #2</w:t>
            </w:r>
          </w:p>
        </w:tc>
        <w:tc>
          <w:tcPr>
            <w:tcW w:type="dxa" w:w="1234"/>
          </w:tcPr>
          <w:p>
            <w:r>
              <w:rPr>
                <w:b/>
                <w:sz w:val="18"/>
              </w:rPr>
              <w:t>Amenaza #3</w:t>
            </w:r>
          </w:p>
        </w:tc>
      </w:tr>
      <w:tr>
        <w:tc>
          <w:tcPr>
            <w:tcW w:type="dxa" w:w="1234"/>
          </w:tcPr>
          <w:p>
            <w:r>
              <w:rPr>
                <w:sz w:val="18"/>
              </w:rPr>
              <w:t>Fuente</w:t>
            </w:r>
          </w:p>
        </w:tc>
        <w:tc>
          <w:tcPr>
            <w:tcW w:type="dxa" w:w="1234"/>
          </w:tcPr>
          <w:p>
            <w:r>
              <w:rPr>
                <w:sz w:val="18"/>
              </w:rPr>
              <w:t>Open-Meteo</w:t>
            </w:r>
          </w:p>
        </w:tc>
        <w:tc>
          <w:tcPr>
            <w:tcW w:type="dxa" w:w="1234"/>
          </w:tcPr>
          <w:p>
            <w:r>
              <w:rPr>
                <w:sz w:val="18"/>
              </w:rPr>
              <w:t>Google Open Buildings 2.5D Temporal (Google Research)</w:t>
            </w:r>
          </w:p>
        </w:tc>
        <w:tc>
          <w:tcPr>
            <w:tcW w:type="dxa" w:w="1234"/>
          </w:tcPr>
          <w:p>
            <w:r>
              <w:rPr>
                <w:sz w:val="18"/>
              </w:rPr>
              <w:t>INE Censo 2017 (vía Observatorio de Ciudades UC)</w:t>
            </w:r>
          </w:p>
        </w:tc>
        <w:tc>
          <w:tcPr>
            <w:tcW w:type="dxa" w:w="1234"/>
          </w:tcPr>
          <w:p>
            <w:r>
              <w:rPr>
                <w:sz w:val="18"/>
              </w:rPr>
              <w:t>NASA FIRMS</w:t>
            </w:r>
          </w:p>
        </w:tc>
        <w:tc>
          <w:tcPr>
            <w:tcW w:type="dxa" w:w="1234"/>
          </w:tcPr>
          <w:p>
            <w:r>
              <w:rPr>
                <w:sz w:val="18"/>
              </w:rPr>
              <w:t>CONAF</w:t>
            </w:r>
          </w:p>
        </w:tc>
        <w:tc>
          <w:tcPr>
            <w:tcW w:type="dxa" w:w="1234"/>
          </w:tcPr>
          <w:p>
            <w:r>
              <w:rPr>
                <w:sz w:val="18"/>
              </w:rPr>
              <w:t>USGS / CSN</w:t>
            </w:r>
          </w:p>
        </w:tc>
      </w:tr>
      <w:tr>
        <w:tc>
          <w:tcPr>
            <w:tcW w:type="dxa" w:w="1234"/>
          </w:tcPr>
          <w:p>
            <w:r>
              <w:rPr>
                <w:sz w:val="18"/>
              </w:rPr>
              <w:t>Qué mediría</w:t>
            </w:r>
          </w:p>
        </w:tc>
        <w:tc>
          <w:tcPr>
            <w:tcW w:type="dxa" w:w="1234"/>
          </w:tcPr>
          <w:p>
            <w:r>
              <w:rPr>
                <w:sz w:val="18"/>
              </w:rPr>
              <w:t>Viento y rachas</w:t>
            </w:r>
          </w:p>
        </w:tc>
        <w:tc>
          <w:tcPr>
            <w:tcW w:type="dxa" w:w="1234"/>
          </w:tcPr>
          <w:p>
            <w:r>
              <w:rPr>
                <w:sz w:val="18"/>
              </w:rPr>
              <w:t>Altura de edificación/estructuras</w:t>
            </w:r>
          </w:p>
        </w:tc>
        <w:tc>
          <w:tcPr>
            <w:tcW w:type="dxa" w:w="1234"/>
          </w:tcPr>
          <w:p>
            <w:r>
              <w:rPr>
                <w:sz w:val="18"/>
              </w:rPr>
              <w:t>Población por manzana censal</w:t>
            </w:r>
          </w:p>
        </w:tc>
        <w:tc>
          <w:tcPr>
            <w:tcW w:type="dxa" w:w="1234"/>
          </w:tcPr>
          <w:p>
            <w:r>
              <w:rPr>
                <w:sz w:val="18"/>
              </w:rPr>
              <w:t>Focos de incendio activo</w:t>
            </w:r>
          </w:p>
        </w:tc>
        <w:tc>
          <w:tcPr>
            <w:tcW w:type="dxa" w:w="1234"/>
          </w:tcPr>
          <w:p>
            <w:r>
              <w:rPr>
                <w:sz w:val="18"/>
              </w:rPr>
              <w:t>Probabilidad de ignición (5 días)</w:t>
            </w:r>
          </w:p>
        </w:tc>
        <w:tc>
          <w:tcPr>
            <w:tcW w:type="dxa" w:w="1234"/>
          </w:tcPr>
          <w:p>
            <w:r>
              <w:rPr>
                <w:sz w:val="18"/>
              </w:rPr>
              <w:t>Sismicidad</w:t>
            </w:r>
          </w:p>
        </w:tc>
      </w:tr>
      <w:tr>
        <w:tc>
          <w:tcPr>
            <w:tcW w:type="dxa" w:w="1234"/>
          </w:tcPr>
          <w:p>
            <w:r>
              <w:rPr>
                <w:sz w:val="18"/>
              </w:rPr>
              <w:t>Uso en el grafo</w:t>
            </w:r>
          </w:p>
        </w:tc>
        <w:tc>
          <w:tcPr>
            <w:tcW w:type="dxa" w:w="1234"/>
          </w:tcPr>
          <w:p>
            <w:r>
              <w:rPr>
                <w:sz w:val="18"/>
              </w:rPr>
              <w:t>Penalizar tramos con viento fuerte (riesgo de pérdida de control)</w:t>
            </w:r>
          </w:p>
        </w:tc>
        <w:tc>
          <w:tcPr>
            <w:tcW w:type="dxa" w:w="1234"/>
          </w:tcPr>
          <w:p>
            <w:r>
              <w:rPr>
                <w:sz w:val="18"/>
              </w:rPr>
              <w:t>Factor de obstáculo / filtro de aeronavegabilidad por altura</w:t>
            </w:r>
          </w:p>
        </w:tc>
        <w:tc>
          <w:tcPr>
            <w:tcW w:type="dxa" w:w="1234"/>
          </w:tcPr>
          <w:p>
            <w:r>
              <w:rPr>
                <w:sz w:val="18"/>
              </w:rPr>
              <w:t>Priorizar cobertura de evaluación en zonas más pobladas</w:t>
            </w:r>
          </w:p>
        </w:tc>
        <w:tc>
          <w:tcPr>
            <w:tcW w:type="dxa" w:w="1234"/>
          </w:tcPr>
          <w:p>
            <w:r>
              <w:rPr>
                <w:sz w:val="18"/>
              </w:rPr>
              <w:t>Eliminar/penalizar aristas cercanas a un foco activo</w:t>
            </w:r>
          </w:p>
        </w:tc>
        <w:tc>
          <w:tcPr>
            <w:tcW w:type="dxa" w:w="1234"/>
          </w:tcPr>
          <w:p>
            <w:r>
              <w:rPr>
                <w:sz w:val="18"/>
              </w:rPr>
              <w:t>Anticipar zonas de alto riesgo antes de que se produzca un incendio</w:t>
            </w:r>
          </w:p>
        </w:tc>
        <w:tc>
          <w:tcPr>
            <w:tcW w:type="dxa" w:w="1234"/>
          </w:tcPr>
          <w:p>
            <w:r>
              <w:rPr>
                <w:sz w:val="18"/>
              </w:rPr>
              <w:t>Priorizar la zona para evaluación (mayor magnitud/recencia = mayor urgencia) y penalizar tramos puntuales con riesgo estructural post-sismo (puentes, taludes), sin excluir la zona completa</w:t>
            </w:r>
          </w:p>
        </w:tc>
      </w:tr>
      <w:tr>
        <w:tc>
          <w:tcPr>
            <w:tcW w:type="dxa" w:w="1234"/>
          </w:tcPr>
          <w:p>
            <w:r>
              <w:rPr>
                <w:sz w:val="18"/>
              </w:rPr>
              <w:t>Acceso</w:t>
            </w:r>
          </w:p>
        </w:tc>
        <w:tc>
          <w:tcPr>
            <w:tcW w:type="dxa" w:w="1234"/>
          </w:tcPr>
          <w:p>
            <w:r>
              <w:rPr>
                <w:sz w:val="18"/>
              </w:rPr>
              <w:t>API REST, sin key</w:t>
            </w:r>
          </w:p>
        </w:tc>
        <w:tc>
          <w:tcPr>
            <w:tcW w:type="dxa" w:w="1234"/>
          </w:tcPr>
          <w:p>
            <w:r>
              <w:rPr>
                <w:sz w:val="18"/>
              </w:rPr>
              <w:t>Dataset público (GeoTIFF en Cloud Storage), sin key</w:t>
            </w:r>
          </w:p>
        </w:tc>
        <w:tc>
          <w:tcPr>
            <w:tcW w:type="dxa" w:w="1234"/>
          </w:tcPr>
          <w:p>
            <w:r>
              <w:rPr>
                <w:sz w:val="18"/>
              </w:rPr>
              <w:t>Feature Service ArcGIS público, sin key</w:t>
            </w:r>
          </w:p>
        </w:tc>
        <w:tc>
          <w:tcPr>
            <w:tcW w:type="dxa" w:w="1234"/>
          </w:tcPr>
          <w:p>
            <w:r>
              <w:rPr>
                <w:sz w:val="18"/>
              </w:rPr>
              <w:t>API REST, requiere registro gratuito (MAP_KEY)</w:t>
            </w:r>
          </w:p>
        </w:tc>
        <w:tc>
          <w:tcPr>
            <w:tcW w:type="dxa" w:w="1234"/>
          </w:tcPr>
          <w:p>
            <w:r>
              <w:rPr>
                <w:sz w:val="18"/>
              </w:rPr>
              <w:t>Feature Service ArcGIS público, sin key</w:t>
            </w:r>
          </w:p>
        </w:tc>
        <w:tc>
          <w:tcPr>
            <w:tcW w:type="dxa" w:w="1234"/>
          </w:tcPr>
          <w:p>
            <w:r>
              <w:rPr>
                <w:sz w:val="18"/>
              </w:rPr>
              <w:t>API REST, sin key</w:t>
            </w:r>
          </w:p>
        </w:tc>
      </w:tr>
      <w:tr>
        <w:tc>
          <w:tcPr>
            <w:tcW w:type="dxa" w:w="1234"/>
          </w:tcPr>
          <w:p>
            <w:r>
              <w:rPr>
                <w:sz w:val="18"/>
              </w:rPr>
              <w:t>Link</w:t>
            </w:r>
          </w:p>
        </w:tc>
        <w:tc>
          <w:tcPr>
            <w:tcW w:type="dxa" w:w="1234"/>
          </w:tcPr>
          <w:p>
            <w:r>
              <w:rPr>
                <w:sz w:val="18"/>
              </w:rPr>
              <w:t>open-meteo.com</w:t>
            </w:r>
          </w:p>
        </w:tc>
        <w:tc>
          <w:tcPr>
            <w:tcW w:type="dxa" w:w="1234"/>
          </w:tcPr>
          <w:p>
            <w:r>
              <w:rPr>
                <w:sz w:val="18"/>
              </w:rPr>
              <w:t>sites.research.google/gr/open-buildings/temporal</w:t>
            </w:r>
          </w:p>
        </w:tc>
        <w:tc>
          <w:tcPr>
            <w:tcW w:type="dxa" w:w="1234"/>
          </w:tcPr>
          <w:p>
            <w:r>
              <w:rPr>
                <w:sz w:val="18"/>
              </w:rPr>
              <w:t>services9.arcgis.com/.../Manzanas_censo_2017/FeatureServer</w:t>
            </w:r>
          </w:p>
        </w:tc>
        <w:tc>
          <w:tcPr>
            <w:tcW w:type="dxa" w:w="1234"/>
          </w:tcPr>
          <w:p>
            <w:r>
              <w:rPr>
                <w:sz w:val="18"/>
              </w:rPr>
              <w:t>firms.modaps.eosdis.nasa.gov</w:t>
            </w:r>
          </w:p>
        </w:tc>
        <w:tc>
          <w:tcPr>
            <w:tcW w:type="dxa" w:w="1234"/>
          </w:tcPr>
          <w:p>
            <w:r>
              <w:rPr>
                <w:sz w:val="18"/>
              </w:rPr>
              <w:t>services5.arcgis.com/.../PI/FeatureServer/4</w:t>
            </w:r>
          </w:p>
        </w:tc>
        <w:tc>
          <w:tcPr>
            <w:tcW w:type="dxa" w:w="1234"/>
          </w:tcPr>
          <w:p>
            <w:r>
              <w:rPr>
                <w:sz w:val="18"/>
              </w:rPr>
              <w:t>earthquake.usgs.gov/fdsnws/event</w:t>
            </w:r>
          </w:p>
        </w:tc>
      </w:tr>
    </w:tbl>
    <w:p>
      <w:r>
        <w:rPr>
          <w:i/>
          <w:color w:val="555555"/>
          <w:sz w:val="18"/>
        </w:rPr>
        <w:t>Nota: la viabilidad técnica de acceso a cada una de estas fuentes ya fue probada con datos reales durante la Tarea 1 (ver codigo/RESULTADOS.md del repositorio), pero este documento está redactado en términos de lo que el sistema propuesto haría, no de lo ya ejecutado.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