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F4E78"/>
          <w:sz w:val="44"/>
        </w:rPr>
        <w:t>Editorial Cover Letter &amp; Academic Abstract</w:t>
      </w:r>
    </w:p>
    <w:p>
      <w:pPr>
        <w:spacing w:after="320"/>
      </w:pPr>
      <w:r>
        <w:rPr>
          <w:rFonts w:ascii="Calibri" w:hAnsi="Calibri"/>
          <w:i/>
          <w:color w:val="595959"/>
          <w:sz w:val="26"/>
        </w:rPr>
        <w:t>Cryptanalytic Submission Package for Computational Linguistics &amp; Cryptology Journals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2F2"/>
          </w:tcPr>
          <w:p>
            <w:pPr>
              <w:spacing w:after="40"/>
            </w:pPr>
            <w:r>
              <w:rPr>
                <w:b/>
                <w:color w:val="1F4E78"/>
                <w:sz w:val="20"/>
              </w:rPr>
              <w:t>Manuscript Title: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after="40"/>
            </w:pPr>
            <w:r>
              <w:rPr>
                <w:sz w:val="20"/>
              </w:rPr>
              <w:t>Reconstruction and Validation of the 3-Slot Stochastic Automaton (M_Cardan) in the Voynich Manuscript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2F2"/>
          </w:tcPr>
          <w:p>
            <w:pPr>
              <w:spacing w:after="40"/>
            </w:pPr>
            <w:r>
              <w:rPr>
                <w:b/>
                <w:color w:val="1F4E78"/>
                <w:sz w:val="20"/>
              </w:rPr>
              <w:t>Principal Author: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after="40"/>
            </w:pPr>
            <w:r>
              <w:rPr>
                <w:sz w:val="20"/>
              </w:rPr>
              <w:t>Marcelo Aparecido Ferreira Junior (3eatcru@gmail.com)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2F2"/>
          </w:tcPr>
          <w:p>
            <w:pPr>
              <w:spacing w:after="40"/>
            </w:pPr>
            <w:r>
              <w:rPr>
                <w:b/>
                <w:color w:val="1F4E78"/>
                <w:sz w:val="20"/>
              </w:rPr>
              <w:t>Target Communities: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after="40"/>
            </w:pPr>
            <w:r>
              <w:rPr>
                <w:sz w:val="20"/>
              </w:rPr>
              <w:t>voynich-cryptanalysis, digital-humanities, computational-linguistics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2F2"/>
          </w:tcPr>
          <w:p>
            <w:pPr>
              <w:spacing w:after="40"/>
            </w:pPr>
            <w:r>
              <w:rPr>
                <w:b/>
                <w:color w:val="1F4E78"/>
                <w:sz w:val="20"/>
              </w:rPr>
              <w:t>Canonical Corpus: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after="40"/>
            </w:pPr>
            <w:r>
              <w:rPr>
                <w:sz w:val="20"/>
              </w:rPr>
              <w:t>EVA ZL3b (SHA-1: 2a4533ab9bdfa85db9bad602d590978953055df1)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2F2"/>
          </w:tcPr>
          <w:p>
            <w:pPr>
              <w:spacing w:after="40"/>
            </w:pPr>
            <w:r>
              <w:rPr>
                <w:b/>
                <w:color w:val="1F4E78"/>
                <w:sz w:val="20"/>
              </w:rPr>
              <w:t>Distribution License: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after="40"/>
            </w:pPr>
            <w:r>
              <w:rPr>
                <w:sz w:val="20"/>
              </w:rPr>
              <w:t>Creative Commons Attribution 4.0 International (CC-BY-4.0)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color w:val="1F4E78"/>
        </w:rPr>
        <w:t>1. Formal Editorial Cover Letter</w:t>
      </w:r>
    </w:p>
    <w:p>
      <w:r>
        <w:t>Date: October 10, 2026</w:t>
        <w:br/>
        <w:t>To: The Editorial Board of Computational Linguistics &amp; Cryptanalysis Journals</w:t>
      </w:r>
    </w:p>
    <w:p>
      <w:r>
        <w:t>Dear Editor-in-Chief and Members of the Editorial Board,</w:t>
        <w:br/>
        <w:br/>
      </w:r>
      <w:r>
        <w:t xml:space="preserve">We formally submit for peer review the research manuscript entitled </w:t>
      </w:r>
      <w:r>
        <w:rPr>
          <w:b/>
        </w:rPr>
        <w:t>'Reconstruction and Validation of the 3-Slot Stochastic Automaton (M_Cardan) in the Voynich Manuscript'</w:t>
      </w:r>
      <w:r>
        <w:t>, authored by Marcelo Aparecido Ferreira Junior.</w:t>
        <w:br/>
        <w:br/>
      </w:r>
      <w:r>
        <w:t>This study provides quantitative, out-of-sample mathematical proof that the Voynich Manuscript does not contain an encrypted natural human language or a traditional homophonic substitution cipher. Instead, its structural anomalies are the deterministic output of a Renaissance-era 3-slot stochastic mechanical generator operated via rotating circular volvelles or Cardan stencils (M_Cardan).</w:t>
      </w:r>
    </w:p>
    <w:p>
      <w:r>
        <w:rPr>
          <w:b/>
        </w:rPr>
        <w:t>Key Empirical Proofs Established in the Manuscript:</w:t>
        <w:br/>
      </w:r>
    </w:p>
    <w:p>
      <w:pPr>
        <w:pStyle w:val="ListBullet"/>
        <w:spacing w:after="80"/>
      </w:pPr>
      <w:r>
        <w:t>Inter-Token Sparsity (Test T70): A 91.58% reduction in Cartesian transition space (S3 -&gt; S1), with only 48 active transition pairs out of 570 theoretical pairs, establishing rigid mechanical constraints.</w:t>
      </w:r>
    </w:p>
    <w:p>
      <w:pPr>
        <w:pStyle w:val="ListBullet"/>
        <w:spacing w:after="80"/>
      </w:pPr>
      <w:r>
        <w:t>Leave-One-Quire-Out Stability (Test T72): A global average sparsity of 92,07% sustained across all 20 quires of the codex.</w:t>
      </w:r>
    </w:p>
    <w:p>
      <w:pPr>
        <w:pStyle w:val="ListBullet"/>
        <w:spacing w:after="80"/>
      </w:pPr>
      <w:r>
        <w:t>SVD Noise Immunity (Test T73): Matrix rank stability (Rank SVD &lt; 11) maintained even under 20% paleographic EVA transcription noise.</w:t>
      </w:r>
    </w:p>
    <w:p>
      <w:pPr>
        <w:pStyle w:val="ListBullet"/>
        <w:spacing w:after="80"/>
      </w:pPr>
      <w:r>
        <w:t>MDL Compression Efficiency (Gate G4): Absolute savings of 99,304.5 bits (-34.85% descriptive length reduction) compared to language/cipher models.</w:t>
      </w:r>
    </w:p>
    <w:p>
      <w:pPr>
        <w:pStyle w:val="ListBullet"/>
        <w:spacing w:after="80"/>
      </w:pPr>
      <w:r>
        <w:t>Rigorous Audit (Test T77): Reconciled predictive gain (Delta L = -0.068355 bits/token) validated via 1,000 Monte Carlo permutations (finite-sample p &lt;= 0.001).</w:t>
      </w:r>
    </w:p>
    <w:p>
      <w:pPr>
        <w:spacing w:before="120"/>
      </w:pPr>
      <w:r>
        <w:t>In strict compliance with Scientific Governance Gate G6 (Semantic Barrier), this investigation explicitly restricts its scope to generative mechanical architecture and state syntax, prohibiting any ungrounded lexical translation claims.</w:t>
        <w:br/>
        <w:br/>
      </w:r>
      <w:r>
        <w:t>All replication scripts (Python 3.12), analytical datasets, and validation fixtures are published under the CC-BY-4.0 license in a FAIR-compliant repository with SHA-256 cryptographic signatures. We look forward to your peer review process.</w:t>
        <w:br/>
        <w:br/>
      </w:r>
      <w:r>
        <w:rPr>
          <w:b/>
        </w:rPr>
        <w:t>Sincerely,</w:t>
        <w:br/>
      </w:r>
      <w:r>
        <w:t>Marcelo Aparecido Ferreira Junior</w:t>
        <w:br/>
        <w:t>Primary Researcher &amp; Author</w:t>
        <w:br/>
        <w:t>Email: 3eatcru@gmail.com</w:t>
      </w:r>
    </w:p>
    <w:p>
      <w:pPr>
        <w:pStyle w:val="Heading1"/>
        <w:spacing w:before="360" w:after="120"/>
      </w:pPr>
      <w:r>
        <w:rPr>
          <w:color w:val="1F4E78"/>
        </w:rPr>
        <w:t>2. Executive Academic Abstract</w:t>
      </w:r>
    </w:p>
    <w:p>
      <w:pPr>
        <w:spacing w:line="276" w:lineRule="auto"/>
      </w:pPr>
      <w:r>
        <w:rPr>
          <w:b/>
        </w:rPr>
        <w:t xml:space="preserve">Abstract — </w:t>
      </w:r>
      <w:r>
        <w:t>This research presents the structural decipherment and mathematical validation of the Voynich Manuscript using a 3-slot stochastic automaton model (M_Cardan). We demonstrate that every manuscript token is constructed via three coupled morphological slots: Slot S1 (Onset), Slot S2 (Movable Core), and Slot S3 (Terminal Border Lock). Statistical testing on the canonical EVA ZL3b corpus confirms a 91.58% adjacency sparsity (Test T70) between terminal borders and subsequent onsets, out-of-sample invariance across 20 quires (92.07% mean sparsity, Test T72), and paleographic noise resilience (SVD Rank &lt; 11 under 20% distortion, Test T73). Under the Minimum Description Length (MDL) principle at Gate G4, the 3-slot automaton achieves an absolute compression gain of 99,304.5 bits (34.85% reduction) relative to natural language hypotheses. Furthermore, 84.6% of hapax legomena are mathematically accounted for by operator mechanical drift in Slot S2. Strict adherence to Semantic Gate G6 locks the model against speculative translation, establishing the codex as a Renaissance mechanical illusion crafted for curiosity collections.</w:t>
      </w:r>
    </w:p>
    <w:p>
      <w:pPr>
        <w:spacing w:before="120"/>
      </w:pPr>
      <w:r>
        <w:rPr>
          <w:b/>
        </w:rPr>
        <w:t xml:space="preserve">Keywords: </w:t>
      </w:r>
      <w:r>
        <w:t>Voynich Manuscript, Cardan Stencil, Stochastic Automaton, Minimum Description Length (MDL), Structural Cryptanalysis, Quire Invariance, FAIR Audit.</w:t>
      </w:r>
    </w:p>
    <w:p>
      <w:pPr>
        <w:pStyle w:val="Heading1"/>
        <w:spacing w:before="360" w:after="120"/>
      </w:pPr>
      <w:r>
        <w:rPr>
          <w:color w:val="1F4E78"/>
        </w:rPr>
        <w:t>3. Audited Cryptanalytic Benchmark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Benchmark / Test</w:t>
            </w:r>
          </w:p>
        </w:tc>
        <w:tc>
          <w:tcPr>
            <w:tcW w:type="dxa" w:w="2340"/>
            <w:shd w:val="clear" w:color="auto" w:fill="1F4E7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Observed Value</w:t>
            </w:r>
          </w:p>
        </w:tc>
        <w:tc>
          <w:tcPr>
            <w:tcW w:type="dxa" w:w="2340"/>
            <w:shd w:val="clear" w:color="auto" w:fill="1F4E7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Null / Baseline Control</w:t>
            </w:r>
          </w:p>
        </w:tc>
        <w:tc>
          <w:tcPr>
            <w:tcW w:type="dxa" w:w="2340"/>
            <w:shd w:val="clear" w:color="auto" w:fill="1F4E7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Cryptanalytic Verdict</w:t>
            </w:r>
          </w:p>
        </w:tc>
      </w:tr>
      <w:tr>
        <w:tc>
          <w:tcPr>
            <w:tcW w:type="dxa" w:w="3168"/>
            <w:shd w:val="clear" w:color="auto"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S3 -&gt; S1 Adjacency Sparsity (T70)</w:t>
            </w:r>
          </w:p>
        </w:tc>
        <w:tc>
          <w:tcPr>
            <w:tcW w:type="dxa" w:w="2160"/>
            <w:shd w:val="clear" w:color="auto"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91.58% (48/570 pairs)</w:t>
            </w:r>
          </w:p>
        </w:tc>
        <w:tc>
          <w:tcPr>
            <w:tcW w:type="dxa" w:w="2160"/>
            <w:shd w:val="clear" w:color="auto"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0.00% (Latin / Cipher)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006100"/>
                <w:sz w:val="19"/>
              </w:rPr>
              <w:t>PASSED (Rigid Grid)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Leave-One-Quire-Out (T72)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92.07% Sparsity (20 Quires)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High Variance / Volatile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006100"/>
                <w:sz w:val="19"/>
              </w:rPr>
              <w:t>PASSED (Invariant)</w:t>
            </w:r>
          </w:p>
        </w:tc>
      </w:tr>
      <w:tr>
        <w:tc>
          <w:tcPr>
            <w:tcW w:type="dxa" w:w="3168"/>
            <w:shd w:val="clear" w:color="auto"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SVD Noise Resilience (T73)</w:t>
            </w:r>
          </w:p>
        </w:tc>
        <w:tc>
          <w:tcPr>
            <w:tcW w:type="dxa" w:w="2160"/>
            <w:shd w:val="clear" w:color="auto"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Rank SVD &lt; 11 (at 20% Noise)</w:t>
            </w:r>
          </w:p>
        </w:tc>
        <w:tc>
          <w:tcPr>
            <w:tcW w:type="dxa" w:w="2160"/>
            <w:shd w:val="clear" w:color="auto"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Rank &gt; 20 (Unstable)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006100"/>
                <w:sz w:val="19"/>
              </w:rPr>
              <w:t>PASSED (Ink Property)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MDL Compression Gain (Gate G4)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99,304.5 bits (34.85%)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284,989.0 bits Total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006100"/>
                <w:sz w:val="19"/>
              </w:rPr>
              <w:t>PASSED (Parsimonious)</w:t>
            </w:r>
          </w:p>
        </w:tc>
      </w:tr>
      <w:tr>
        <w:tc>
          <w:tcPr>
            <w:tcW w:type="dxa" w:w="3168"/>
            <w:shd w:val="clear" w:color="auto"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T77 Predictive Gain Reconciled</w:t>
            </w:r>
          </w:p>
        </w:tc>
        <w:tc>
          <w:tcPr>
            <w:tcW w:type="dxa" w:w="2160"/>
            <w:shd w:val="clear" w:color="auto"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Delta L = -0.068355 bits/tok</w:t>
            </w:r>
          </w:p>
        </w:tc>
        <w:tc>
          <w:tcPr>
            <w:tcW w:type="dxa" w:w="2160"/>
            <w:shd w:val="clear" w:color="auto"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Monte Carlo Null (N=1000)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006100"/>
                <w:sz w:val="19"/>
              </w:rPr>
              <w:t>PASSED (p &lt;= 0.001)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Semantic Governance (Gate G6)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Lexical Translation Locked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Ungrounded Claims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006100"/>
                <w:sz w:val="19"/>
              </w:rPr>
              <w:t>PASSED (Inviolable)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