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3366"/>
          <w:sz w:val="44"/>
        </w:rPr>
        <w:t>Cryptanalysis of the 3-Slot Stochastic Automaton (M_Cardan) in the Voynich Manuscript</w:t>
      </w:r>
    </w:p>
    <w:p>
      <w:pPr>
        <w:spacing w:after="360"/>
      </w:pPr>
      <w:r>
        <w:rPr>
          <w:rFonts w:ascii="Arial" w:hAnsi="Arial"/>
          <w:i/>
          <w:color w:val="5A6B7C"/>
          <w:sz w:val="26"/>
        </w:rPr>
        <w:t>Comprehensive Technical Documentation, Replication Package &amp; FAIR Submission Manifesto</w:t>
      </w:r>
    </w:p>
    <w:tbl>
      <w:tblPr>
        <w:tblW w:type="auto" w:w="0"/>
        <w:jc w:val="center"/>
        <w:tblLayout w:type="fixed"/>
        <w:tblLook w:firstColumn="1" w:firstRow="1" w:lastColumn="0" w:lastRow="0" w:noHBand="0" w:noVBand="1" w:val="04A0"/>
      </w:tblPr>
      <w:tblGrid>
        <w:gridCol w:w="4680"/>
        <w:gridCol w:w="4680"/>
      </w:tblGrid>
      <w:tr>
        <w:trPr>
          <w:cantSplit/>
        </w:trPr>
        <w:tc>
          <w:tcPr>
            <w:tcW w:type="dxa" w:w="3168"/>
            <w:shd w:fill="F4F6F9"/>
            <w:tcMar>
              <w:top w:w="60" w:type="dxa"/>
              <w:bottom w:w="60" w:type="dxa"/>
              <w:left w:w="100" w:type="dxa"/>
              <w:right w:w="100" w:type="dxa"/>
            </w:tcMar>
          </w:tcPr>
          <w:p>
            <w:pPr>
              <w:spacing w:after="40"/>
            </w:pPr>
            <w:r>
              <w:rPr>
                <w:b/>
                <w:color w:val="003366"/>
              </w:rPr>
              <w:t>Principal Researcher:</w:t>
            </w:r>
          </w:p>
        </w:tc>
        <w:tc>
          <w:tcPr>
            <w:tcW w:type="dxa" w:w="6192"/>
            <w:shd w:fill="F4F6F9"/>
            <w:tcMar>
              <w:top w:w="60" w:type="dxa"/>
              <w:bottom w:w="60" w:type="dxa"/>
              <w:left w:w="100" w:type="dxa"/>
              <w:right w:w="100" w:type="dxa"/>
            </w:tcMar>
          </w:tcPr>
          <w:p>
            <w:pPr>
              <w:spacing w:after="40"/>
            </w:pPr>
            <w:r>
              <w:t>Marcelo Aparecido Ferreira Junior (3eatcru@gmail.com)</w:t>
            </w:r>
          </w:p>
        </w:tc>
      </w:tr>
      <w:tr>
        <w:trPr>
          <w:cantSplit/>
        </w:trPr>
        <w:tc>
          <w:tcPr>
            <w:tcW w:type="dxa" w:w="3168"/>
            <w:shd w:fill="F4F6F9"/>
            <w:tcMar>
              <w:top w:w="60" w:type="dxa"/>
              <w:bottom w:w="60" w:type="dxa"/>
              <w:left w:w="100" w:type="dxa"/>
              <w:right w:w="100" w:type="dxa"/>
            </w:tcMar>
          </w:tcPr>
          <w:p>
            <w:pPr>
              <w:spacing w:after="40"/>
            </w:pPr>
            <w:r>
              <w:rPr>
                <w:b/>
                <w:color w:val="003366"/>
              </w:rPr>
              <w:t>Date &amp; Status:</w:t>
            </w:r>
          </w:p>
        </w:tc>
        <w:tc>
          <w:tcPr>
            <w:tcW w:type="dxa" w:w="6192"/>
            <w:shd w:fill="F4F6F9"/>
            <w:tcMar>
              <w:top w:w="60" w:type="dxa"/>
              <w:bottom w:w="60" w:type="dxa"/>
              <w:left w:w="100" w:type="dxa"/>
              <w:right w:w="100" w:type="dxa"/>
            </w:tcMar>
          </w:tcPr>
          <w:p>
            <w:pPr>
              <w:spacing w:after="40"/>
            </w:pPr>
            <w:r>
              <w:t>October 2026 | Verified Air-Gapped Replication Package</w:t>
            </w:r>
          </w:p>
        </w:tc>
      </w:tr>
      <w:tr>
        <w:trPr>
          <w:cantSplit/>
        </w:trPr>
        <w:tc>
          <w:tcPr>
            <w:tcW w:type="dxa" w:w="3168"/>
            <w:shd w:fill="F4F6F9"/>
            <w:tcMar>
              <w:top w:w="60" w:type="dxa"/>
              <w:bottom w:w="60" w:type="dxa"/>
              <w:left w:w="100" w:type="dxa"/>
              <w:right w:w="100" w:type="dxa"/>
            </w:tcMar>
          </w:tcPr>
          <w:p>
            <w:pPr>
              <w:spacing w:after="40"/>
            </w:pPr>
            <w:r>
              <w:rPr>
                <w:b/>
                <w:color w:val="003366"/>
              </w:rPr>
              <w:t>Distribution License:</w:t>
            </w:r>
          </w:p>
        </w:tc>
        <w:tc>
          <w:tcPr>
            <w:tcW w:type="dxa" w:w="6192"/>
            <w:shd w:fill="F4F6F9"/>
            <w:tcMar>
              <w:top w:w="60" w:type="dxa"/>
              <w:bottom w:w="60" w:type="dxa"/>
              <w:left w:w="100" w:type="dxa"/>
              <w:right w:w="100" w:type="dxa"/>
            </w:tcMar>
          </w:tcPr>
          <w:p>
            <w:pPr>
              <w:spacing w:after="40"/>
            </w:pPr>
            <w:r>
              <w:t>Creative Commons Attribution 4.0 International (CC-BY-4.0)</w:t>
            </w:r>
          </w:p>
        </w:tc>
      </w:tr>
      <w:tr>
        <w:trPr>
          <w:cantSplit/>
        </w:trPr>
        <w:tc>
          <w:tcPr>
            <w:tcW w:type="dxa" w:w="3168"/>
            <w:shd w:fill="F4F6F9"/>
            <w:tcMar>
              <w:top w:w="60" w:type="dxa"/>
              <w:bottom w:w="60" w:type="dxa"/>
              <w:left w:w="100" w:type="dxa"/>
              <w:right w:w="100" w:type="dxa"/>
            </w:tcMar>
          </w:tcPr>
          <w:p>
            <w:pPr>
              <w:spacing w:after="40"/>
            </w:pPr>
            <w:r>
              <w:rPr>
                <w:b/>
                <w:color w:val="003366"/>
              </w:rPr>
              <w:t>Target Communities:</w:t>
            </w:r>
          </w:p>
        </w:tc>
        <w:tc>
          <w:tcPr>
            <w:tcW w:type="dxa" w:w="6192"/>
            <w:shd w:fill="F4F6F9"/>
            <w:tcMar>
              <w:top w:w="60" w:type="dxa"/>
              <w:bottom w:w="60" w:type="dxa"/>
              <w:left w:w="100" w:type="dxa"/>
              <w:right w:w="100" w:type="dxa"/>
            </w:tcMar>
          </w:tcPr>
          <w:p>
            <w:pPr>
              <w:spacing w:after="40"/>
            </w:pPr>
            <w:r>
              <w:t>voynich-cryptanalysis, digital-humanities, computational-linguistics</w:t>
            </w:r>
          </w:p>
        </w:tc>
      </w:tr>
    </w:tbl>
    <w:p>
      <w:pPr>
        <w:spacing w:after="240"/>
      </w:pPr>
    </w:p>
    <w:p>
      <w:pPr>
        <w:keepNext/>
        <w:spacing w:before="360" w:after="120"/>
      </w:pPr>
      <w:r>
        <w:rPr>
          <w:rFonts w:ascii="Arial" w:hAnsi="Arial"/>
          <w:b/>
          <w:color w:val="003366"/>
          <w:sz w:val="30"/>
        </w:rPr>
        <w:t>Table of Contents</w:t>
      </w:r>
    </w:p>
    <w:p>
      <w:r>
        <w:fldChar w:fldCharType="begin"/>
        <w:instrText xml:space="preserve">TOC \o "1-3" \h \z \u</w:instrText>
        <w:fldChar w:fldCharType="end"/>
      </w:r>
    </w:p>
    <w:p>
      <w:r>
        <w:t>(Note: Table of Contents automatically populates upon opening in Word or Google Docs.)</w:t>
      </w:r>
    </w:p>
    <w:p>
      <w:pPr>
        <w:keepNext/>
        <w:spacing w:before="360" w:after="120"/>
      </w:pPr>
      <w:r>
        <w:rPr>
          <w:rFonts w:ascii="Arial" w:hAnsi="Arial"/>
          <w:b/>
          <w:color w:val="003366"/>
          <w:sz w:val="30"/>
        </w:rPr>
        <w:t>1. Executive Summary &amp; Core Cryptanalytic Thesis</w:t>
      </w:r>
    </w:p>
    <w:p>
      <w:r>
        <w:t xml:space="preserve">This document provides the complete, updated documentation for the structural cryptanalysis of the Voynich Manuscript using the 3-slot stochastic mechanical automaton model, designated as </w:t>
      </w:r>
      <w:r>
        <w:rPr>
          <w:b/>
        </w:rPr>
        <w:t>M_Cardan</w:t>
      </w:r>
      <w:r>
        <w:t>. Developed by researcher Marcelo Aparecido Ferreira Junior, this computational framework demonstrates that the Voynich Manuscript is not a written natural language nor a conventional substitution cipher, but rather an elaborate Renaissance mechanical generator operated via rotating circular disks and Cardan stencils.</w:t>
      </w:r>
    </w:p>
    <w:p>
      <w:r>
        <w:t xml:space="preserve">The research establishes that the manuscript's surface patterns are strictly dictated by physical combinatorial constraints across three structural slots: Onset (S1), Core (S2), and Terminal Border (S3). All empirical tests adhere to the strict </w:t>
      </w:r>
      <w:r>
        <w:rPr>
          <w:b/>
        </w:rPr>
        <w:t>Semantic Governance Gate G6</w:t>
      </w:r>
      <w:r>
        <w:t>, which prohibits speculative lexical translation and limits claims exclusively to verifiable physical and mathematical structures.</w:t>
      </w:r>
    </w:p>
    <w:p>
      <w:pPr>
        <w:keepNext/>
        <w:spacing w:before="360" w:after="120"/>
      </w:pPr>
      <w:r>
        <w:rPr>
          <w:rFonts w:ascii="Arial" w:hAnsi="Arial"/>
          <w:b/>
          <w:color w:val="003366"/>
          <w:sz w:val="30"/>
        </w:rPr>
        <w:t>2. Repository Structure &amp; File Directory</w:t>
      </w:r>
    </w:p>
    <w:p>
      <w:r>
        <w:t>The standalone replication package is organized into four main operational directories to ensure full FAIR compliance and air-gapped execution:</w:t>
      </w:r>
    </w:p>
    <w:p>
      <w:pPr>
        <w:pStyle w:val="ListBullet"/>
        <w:spacing w:after="80"/>
      </w:pPr>
      <w:r>
        <w:rPr>
          <w:b/>
          <w:color w:val="222222"/>
        </w:rPr>
        <w:t xml:space="preserve">01_ACADEMIC_DOCUMENTS/: </w:t>
      </w:r>
      <w:r>
        <w:rPr>
          <w:color w:val="222222"/>
        </w:rPr>
        <w:t>Contains the peer-review submission manuscript (Manuscrito_Academico_Voynich_M_Cardan-v3.docx), Cover Letter, Executive Panel (Painel_Executivo_Engenharia_Voynich_M_Cardan.pdf), and Reproduction Formulas Manual PDF.</w:t>
      </w:r>
    </w:p>
    <w:p>
      <w:pPr>
        <w:pStyle w:val="ListBullet"/>
        <w:spacing w:after="80"/>
      </w:pPr>
      <w:r>
        <w:rPr>
          <w:b/>
          <w:color w:val="222222"/>
        </w:rPr>
        <w:t xml:space="preserve">02_DATASETS_AND_FIXTURES/: </w:t>
      </w:r>
      <w:r>
        <w:rPr>
          <w:color w:val="222222"/>
        </w:rPr>
        <w:t>Contains canonical CSV data tables including matrix decomposition parsers, positional preference tables, operator drift matrices, and cross-section co-occurrence datasets.</w:t>
      </w:r>
    </w:p>
    <w:p>
      <w:pPr>
        <w:pStyle w:val="ListBullet"/>
        <w:spacing w:after="80"/>
      </w:pPr>
      <w:r>
        <w:rPr>
          <w:b/>
          <w:color w:val="222222"/>
        </w:rPr>
        <w:t xml:space="preserve">03_REPRODUCTION_AND_AUDIT_SCRIPTS/: </w:t>
      </w:r>
      <w:r>
        <w:rPr>
          <w:color w:val="222222"/>
        </w:rPr>
        <w:t>Houses independent Python 3.12 reproduction scripts (reproduzir_testes_voynich.py), fold metrics logs, and T77 auditing datasets.</w:t>
      </w:r>
    </w:p>
    <w:p>
      <w:pPr>
        <w:pStyle w:val="ListBullet"/>
        <w:spacing w:after="80"/>
      </w:pPr>
      <w:r>
        <w:rPr>
          <w:b/>
          <w:color w:val="222222"/>
        </w:rPr>
        <w:t xml:space="preserve">04_DIAGRAMS_AND_TEMPLATES/: </w:t>
      </w:r>
      <w:r>
        <w:rPr>
          <w:color w:val="222222"/>
        </w:rPr>
        <w:t>Includes high-resolution analytical visual charts (sparsity by section, MDL compression curves, SVD noise resilience plots) and mechanical Volvelle assembly schematics.</w:t>
      </w:r>
    </w:p>
    <w:p>
      <w:pPr>
        <w:keepNext/>
        <w:spacing w:before="360" w:after="120"/>
      </w:pPr>
      <w:r>
        <w:rPr>
          <w:rFonts w:ascii="Arial" w:hAnsi="Arial"/>
          <w:b/>
          <w:color w:val="003366"/>
          <w:sz w:val="30"/>
        </w:rPr>
        <w:t>3. Core Audited Benchmark Metrics</w:t>
      </w:r>
    </w:p>
    <w:p>
      <w:r>
        <w:t>Quantitative evaluations confirm that the 3-slot automaton model achieves high structural parsimony, exceptional compression efficiency, and physical stability under noise:</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880"/>
            <w:shd w:fill="003366"/>
            <w:tcMar>
              <w:top w:w="100" w:type="dxa"/>
              <w:bottom w:w="100" w:type="dxa"/>
              <w:left w:w="100" w:type="dxa"/>
              <w:right w:w="100" w:type="dxa"/>
            </w:tcMar>
          </w:tcPr>
          <w:p>
            <w:r>
              <w:rPr>
                <w:b/>
                <w:color w:val="FFFFFF"/>
              </w:rPr>
              <w:t>Benchmark Test / Gate</w:t>
            </w:r>
          </w:p>
        </w:tc>
        <w:tc>
          <w:tcPr>
            <w:tcW w:type="dxa" w:w="3168"/>
            <w:shd w:fill="003366"/>
            <w:tcMar>
              <w:top w:w="100" w:type="dxa"/>
              <w:bottom w:w="100" w:type="dxa"/>
              <w:left w:w="100" w:type="dxa"/>
              <w:right w:w="100" w:type="dxa"/>
            </w:tcMar>
          </w:tcPr>
          <w:p>
            <w:r>
              <w:rPr>
                <w:b/>
                <w:color w:val="FFFFFF"/>
              </w:rPr>
              <w:t>Audited Quantitative Metric</w:t>
            </w:r>
          </w:p>
        </w:tc>
        <w:tc>
          <w:tcPr>
            <w:tcW w:type="dxa" w:w="3312"/>
            <w:shd w:fill="003366"/>
            <w:tcMar>
              <w:top w:w="100" w:type="dxa"/>
              <w:bottom w:w="100" w:type="dxa"/>
              <w:left w:w="100" w:type="dxa"/>
              <w:right w:w="100" w:type="dxa"/>
            </w:tcMar>
          </w:tcPr>
          <w:p>
            <w:r>
              <w:rPr>
                <w:b/>
                <w:color w:val="FFFFFF"/>
              </w:rPr>
              <w:t>Physical &amp; Mathematical Significance</w:t>
            </w:r>
          </w:p>
        </w:tc>
      </w:tr>
      <w:tr>
        <w:trPr>
          <w:cantSplit/>
        </w:trPr>
        <w:tc>
          <w:tcPr>
            <w:tcW w:type="dxa" w:w="2880"/>
            <w:shd w:fill="F4F6F9"/>
            <w:tcMar>
              <w:top w:w="80" w:type="dxa"/>
              <w:bottom w:w="80" w:type="dxa"/>
              <w:left w:w="100" w:type="dxa"/>
              <w:right w:w="100" w:type="dxa"/>
            </w:tcMar>
          </w:tcPr>
          <w:p>
            <w:r>
              <w:t>Test T70: Inter-Token Sparsity</w:t>
            </w:r>
          </w:p>
        </w:tc>
        <w:tc>
          <w:tcPr>
            <w:tcW w:type="dxa" w:w="3168"/>
            <w:shd w:fill="F4F6F9"/>
            <w:tcMar>
              <w:top w:w="80" w:type="dxa"/>
              <w:bottom w:w="80" w:type="dxa"/>
              <w:left w:w="100" w:type="dxa"/>
              <w:right w:w="100" w:type="dxa"/>
            </w:tcMar>
          </w:tcPr>
          <w:p>
            <w:r>
              <w:t>91.58% reduction</w:t>
            </w:r>
          </w:p>
        </w:tc>
        <w:tc>
          <w:tcPr>
            <w:tcW w:type="dxa" w:w="3312"/>
            <w:shd w:fill="F4F6F9"/>
            <w:tcMar>
              <w:top w:w="80" w:type="dxa"/>
              <w:bottom w:w="80" w:type="dxa"/>
              <w:left w:w="100" w:type="dxa"/>
              <w:right w:w="100" w:type="dxa"/>
            </w:tcMar>
          </w:tcPr>
          <w:p>
            <w:r>
              <w:t>Collapses the S3 -&gt; S1 Cartesian state space, confirming strict mechanical slot bounds.</w:t>
            </w:r>
          </w:p>
        </w:tc>
      </w:tr>
      <w:tr>
        <w:trPr>
          <w:cantSplit/>
        </w:trPr>
        <w:tc>
          <w:tcPr>
            <w:tcW w:type="dxa" w:w="2880"/>
            <w:shd w:fill="FFFFFF"/>
            <w:tcMar>
              <w:top w:w="80" w:type="dxa"/>
              <w:bottom w:w="80" w:type="dxa"/>
              <w:left w:w="100" w:type="dxa"/>
              <w:right w:w="100" w:type="dxa"/>
            </w:tcMar>
          </w:tcPr>
          <w:p>
            <w:r>
              <w:t>Test T72 (LOQ): Quire Invariance</w:t>
            </w:r>
          </w:p>
        </w:tc>
        <w:tc>
          <w:tcPr>
            <w:tcW w:type="dxa" w:w="3168"/>
            <w:shd w:fill="FFFFFF"/>
            <w:tcMar>
              <w:top w:w="80" w:type="dxa"/>
              <w:bottom w:w="80" w:type="dxa"/>
              <w:left w:w="100" w:type="dxa"/>
              <w:right w:w="100" w:type="dxa"/>
            </w:tcMar>
          </w:tcPr>
          <w:p>
            <w:r>
              <w:t>92.07% mean sparsity</w:t>
            </w:r>
          </w:p>
        </w:tc>
        <w:tc>
          <w:tcPr>
            <w:tcW w:type="dxa" w:w="3312"/>
            <w:shd w:fill="FFFFFF"/>
            <w:tcMar>
              <w:top w:w="80" w:type="dxa"/>
              <w:bottom w:w="80" w:type="dxa"/>
              <w:left w:w="100" w:type="dxa"/>
              <w:right w:w="100" w:type="dxa"/>
            </w:tcMar>
          </w:tcPr>
          <w:p>
            <w:r>
              <w:t>Demonstrates structural stability across all 20 quire divisions without section-level drift.</w:t>
            </w:r>
          </w:p>
        </w:tc>
      </w:tr>
      <w:tr>
        <w:trPr>
          <w:cantSplit/>
        </w:trPr>
        <w:tc>
          <w:tcPr>
            <w:tcW w:type="dxa" w:w="2880"/>
            <w:shd w:fill="F4F6F9"/>
            <w:tcMar>
              <w:top w:w="80" w:type="dxa"/>
              <w:bottom w:w="80" w:type="dxa"/>
              <w:left w:w="100" w:type="dxa"/>
              <w:right w:w="100" w:type="dxa"/>
            </w:tcMar>
          </w:tcPr>
          <w:p>
            <w:r>
              <w:t>Test T73: SVD Noise Resilience</w:t>
            </w:r>
          </w:p>
        </w:tc>
        <w:tc>
          <w:tcPr>
            <w:tcW w:type="dxa" w:w="3168"/>
            <w:shd w:fill="F4F6F9"/>
            <w:tcMar>
              <w:top w:w="80" w:type="dxa"/>
              <w:bottom w:w="80" w:type="dxa"/>
              <w:left w:w="100" w:type="dxa"/>
              <w:right w:w="100" w:type="dxa"/>
            </w:tcMar>
          </w:tcPr>
          <w:p>
            <w:r>
              <w:t>Rank SVD &lt; 11 @ 20% noise</w:t>
            </w:r>
          </w:p>
        </w:tc>
        <w:tc>
          <w:tcPr>
            <w:tcW w:type="dxa" w:w="3312"/>
            <w:shd w:fill="F4F6F9"/>
            <w:tcMar>
              <w:top w:w="80" w:type="dxa"/>
              <w:bottom w:w="80" w:type="dxa"/>
              <w:left w:w="100" w:type="dxa"/>
              <w:right w:w="100" w:type="dxa"/>
            </w:tcMar>
          </w:tcPr>
          <w:p>
            <w:r>
              <w:t>Proves paleographic stability against visual degradation and character insertion anomalies.</w:t>
            </w:r>
          </w:p>
        </w:tc>
      </w:tr>
      <w:tr>
        <w:trPr>
          <w:cantSplit/>
        </w:trPr>
        <w:tc>
          <w:tcPr>
            <w:tcW w:type="dxa" w:w="2880"/>
            <w:shd w:fill="FFFFFF"/>
            <w:tcMar>
              <w:top w:w="80" w:type="dxa"/>
              <w:bottom w:w="80" w:type="dxa"/>
              <w:left w:w="100" w:type="dxa"/>
              <w:right w:w="100" w:type="dxa"/>
            </w:tcMar>
          </w:tcPr>
          <w:p>
            <w:r>
              <w:t>Gate G4: MDL Compression</w:t>
            </w:r>
          </w:p>
        </w:tc>
        <w:tc>
          <w:tcPr>
            <w:tcW w:type="dxa" w:w="3168"/>
            <w:shd w:fill="FFFFFF"/>
            <w:tcMar>
              <w:top w:w="80" w:type="dxa"/>
              <w:bottom w:w="80" w:type="dxa"/>
              <w:left w:w="100" w:type="dxa"/>
              <w:right w:w="100" w:type="dxa"/>
            </w:tcMar>
          </w:tcPr>
          <w:p>
            <w:r>
              <w:t>99,304.5 bits (34.85%) saved</w:t>
            </w:r>
          </w:p>
        </w:tc>
        <w:tc>
          <w:tcPr>
            <w:tcW w:type="dxa" w:w="3312"/>
            <w:shd w:fill="FFFFFF"/>
            <w:tcMar>
              <w:top w:w="80" w:type="dxa"/>
              <w:bottom w:w="80" w:type="dxa"/>
              <w:left w:w="100" w:type="dxa"/>
              <w:right w:w="100" w:type="dxa"/>
            </w:tcMar>
          </w:tcPr>
          <w:p>
            <w:r>
              <w:t>Surpasses natural language models in Minimum Description Length efficiency.</w:t>
            </w:r>
          </w:p>
        </w:tc>
      </w:tr>
      <w:tr>
        <w:trPr>
          <w:cantSplit/>
        </w:trPr>
        <w:tc>
          <w:tcPr>
            <w:tcW w:type="dxa" w:w="2880"/>
            <w:shd w:fill="F4F6F9"/>
            <w:tcMar>
              <w:top w:w="80" w:type="dxa"/>
              <w:bottom w:w="80" w:type="dxa"/>
              <w:left w:w="100" w:type="dxa"/>
              <w:right w:w="100" w:type="dxa"/>
            </w:tcMar>
          </w:tcPr>
          <w:p>
            <w:r>
              <w:t>Gate G6: Semantic Governance</w:t>
            </w:r>
          </w:p>
        </w:tc>
        <w:tc>
          <w:tcPr>
            <w:tcW w:type="dxa" w:w="3168"/>
            <w:shd w:fill="F4F6F9"/>
            <w:tcMar>
              <w:top w:w="80" w:type="dxa"/>
              <w:bottom w:w="80" w:type="dxa"/>
              <w:left w:w="100" w:type="dxa"/>
              <w:right w:w="100" w:type="dxa"/>
            </w:tcMar>
          </w:tcPr>
          <w:p>
            <w:r>
              <w:t>Strict Architectural Lock</w:t>
            </w:r>
          </w:p>
        </w:tc>
        <w:tc>
          <w:tcPr>
            <w:tcW w:type="dxa" w:w="3312"/>
            <w:shd w:fill="F4F6F9"/>
            <w:tcMar>
              <w:top w:w="80" w:type="dxa"/>
              <w:bottom w:w="80" w:type="dxa"/>
              <w:left w:w="100" w:type="dxa"/>
              <w:right w:w="100" w:type="dxa"/>
            </w:tcMar>
          </w:tcPr>
          <w:p>
            <w:r>
              <w:t>Prohibits unfounded lexical translation while validating generative mechanical rules.</w:t>
            </w:r>
          </w:p>
        </w:tc>
      </w:tr>
    </w:tbl>
    <w:p>
      <w:pPr>
        <w:spacing w:after="200"/>
      </w:pPr>
    </w:p>
    <w:p>
      <w:pPr>
        <w:keepNext/>
        <w:spacing w:before="360" w:after="120"/>
      </w:pPr>
      <w:r>
        <w:rPr>
          <w:rFonts w:ascii="Arial" w:hAnsi="Arial"/>
          <w:b/>
          <w:color w:val="003366"/>
          <w:sz w:val="30"/>
        </w:rPr>
        <w:t>4. Rigorous Audit &amp; Methodological Reconciliation (Test T77)</w:t>
      </w:r>
    </w:p>
    <w:p>
      <w:r>
        <w:t>A comprehensive Leave-One-Quire-Out (LOQ) audit was conducted across 5 thematic section folds to evaluate the predictive performance of Model M1 (S1 + S3) versus Model M2 (S1 + S2 + S3). Input data integrity was verified against input matrix parser SHA-256 hash 034f2c017730cbbbf3a3eb6cfcef5c4b97fa39f2c4427a8df3d0bb7274b23586 (156 categorized types, 310 weighted occurrences).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3168"/>
            <w:shd w:fill="003366"/>
            <w:tcMar>
              <w:top w:w="100" w:type="dxa"/>
              <w:bottom w:w="100" w:type="dxa"/>
              <w:left w:w="80" w:type="dxa"/>
              <w:right w:w="80" w:type="dxa"/>
            </w:tcMar>
          </w:tcPr>
          <w:p>
            <w:r>
              <w:rPr>
                <w:b/>
                <w:color w:val="FFFFFF"/>
              </w:rPr>
              <w:t>Fold Section</w:t>
            </w:r>
          </w:p>
        </w:tc>
        <w:tc>
          <w:tcPr>
            <w:tcW w:type="dxa" w:w="1152"/>
            <w:shd w:fill="003366"/>
            <w:tcMar>
              <w:top w:w="100" w:type="dxa"/>
              <w:bottom w:w="100" w:type="dxa"/>
              <w:left w:w="80" w:type="dxa"/>
              <w:right w:w="80" w:type="dxa"/>
            </w:tcMar>
          </w:tcPr>
          <w:p>
            <w:r>
              <w:rPr>
                <w:b/>
                <w:color w:val="FFFFFF"/>
              </w:rPr>
              <w:t>Tokens</w:t>
            </w:r>
          </w:p>
        </w:tc>
        <w:tc>
          <w:tcPr>
            <w:tcW w:type="dxa" w:w="1584"/>
            <w:shd w:fill="003366"/>
            <w:tcMar>
              <w:top w:w="100" w:type="dxa"/>
              <w:bottom w:w="100" w:type="dxa"/>
              <w:left w:w="80" w:type="dxa"/>
              <w:right w:w="80" w:type="dxa"/>
            </w:tcMar>
          </w:tcPr>
          <w:p>
            <w:r>
              <w:rPr>
                <w:b/>
                <w:color w:val="FFFFFF"/>
              </w:rPr>
              <w:t>Loss M1 (S1+S3)</w:t>
            </w:r>
          </w:p>
        </w:tc>
        <w:tc>
          <w:tcPr>
            <w:tcW w:type="dxa" w:w="1728"/>
            <w:shd w:fill="003366"/>
            <w:tcMar>
              <w:top w:w="100" w:type="dxa"/>
              <w:bottom w:w="100" w:type="dxa"/>
              <w:left w:w="80" w:type="dxa"/>
              <w:right w:w="80" w:type="dxa"/>
            </w:tcMar>
          </w:tcPr>
          <w:p>
            <w:r>
              <w:rPr>
                <w:b/>
                <w:color w:val="FFFFFF"/>
              </w:rPr>
              <w:t>Loss M2 (S1+S2+S3)</w:t>
            </w:r>
          </w:p>
        </w:tc>
        <w:tc>
          <w:tcPr>
            <w:tcW w:type="dxa" w:w="1728"/>
            <w:shd w:fill="003366"/>
            <w:tcMar>
              <w:top w:w="100" w:type="dxa"/>
              <w:bottom w:w="100" w:type="dxa"/>
              <w:left w:w="80" w:type="dxa"/>
              <w:right w:w="80" w:type="dxa"/>
            </w:tcMar>
          </w:tcPr>
          <w:p>
            <w:r>
              <w:rPr>
                <w:b/>
                <w:color w:val="FFFFFF"/>
              </w:rPr>
              <w:t>Delta L (M1 - M2)</w:t>
            </w:r>
          </w:p>
        </w:tc>
      </w:tr>
      <w:tr>
        <w:trPr>
          <w:cantSplit/>
        </w:trPr>
        <w:tc>
          <w:tcPr>
            <w:tcW w:type="dxa" w:w="3168"/>
            <w:shd w:fill="F4F6F9"/>
            <w:tcMar>
              <w:top w:w="80" w:type="dxa"/>
              <w:bottom w:w="80" w:type="dxa"/>
              <w:left w:w="80" w:type="dxa"/>
              <w:right w:w="80" w:type="dxa"/>
            </w:tcMar>
          </w:tcPr>
          <w:p>
            <w:r>
              <w:t>Fold 1: Quire 01-04 (Herbal A)</w:t>
            </w:r>
          </w:p>
        </w:tc>
        <w:tc>
          <w:tcPr>
            <w:tcW w:type="dxa" w:w="1152"/>
            <w:shd w:fill="F4F6F9"/>
            <w:tcMar>
              <w:top w:w="80" w:type="dxa"/>
              <w:bottom w:w="80" w:type="dxa"/>
              <w:left w:w="80" w:type="dxa"/>
              <w:right w:w="80" w:type="dxa"/>
            </w:tcMar>
          </w:tcPr>
          <w:p>
            <w:r>
              <w:t>70</w:t>
            </w:r>
          </w:p>
        </w:tc>
        <w:tc>
          <w:tcPr>
            <w:tcW w:type="dxa" w:w="1584"/>
            <w:shd w:fill="F4F6F9"/>
            <w:tcMar>
              <w:top w:w="80" w:type="dxa"/>
              <w:bottom w:w="80" w:type="dxa"/>
              <w:left w:w="80" w:type="dxa"/>
              <w:right w:w="80" w:type="dxa"/>
            </w:tcMar>
          </w:tcPr>
          <w:p>
            <w:r>
              <w:t>4.244427 bits</w:t>
            </w:r>
          </w:p>
        </w:tc>
        <w:tc>
          <w:tcPr>
            <w:tcW w:type="dxa" w:w="1728"/>
            <w:shd w:fill="F4F6F9"/>
            <w:tcMar>
              <w:top w:w="80" w:type="dxa"/>
              <w:bottom w:w="80" w:type="dxa"/>
              <w:left w:w="80" w:type="dxa"/>
              <w:right w:w="80" w:type="dxa"/>
            </w:tcMar>
          </w:tcPr>
          <w:p>
            <w:r>
              <w:t>4.510661 bits</w:t>
            </w:r>
          </w:p>
        </w:tc>
        <w:tc>
          <w:tcPr>
            <w:tcW w:type="dxa" w:w="1728"/>
            <w:shd w:fill="F4F6F9"/>
            <w:tcMar>
              <w:top w:w="80" w:type="dxa"/>
              <w:bottom w:w="80" w:type="dxa"/>
              <w:left w:w="80" w:type="dxa"/>
              <w:right w:w="80" w:type="dxa"/>
            </w:tcMar>
          </w:tcPr>
          <w:p>
            <w:r>
              <w:t>-0.266234 bits</w:t>
            </w:r>
          </w:p>
        </w:tc>
      </w:tr>
      <w:tr>
        <w:trPr>
          <w:cantSplit/>
        </w:trPr>
        <w:tc>
          <w:tcPr>
            <w:tcW w:type="dxa" w:w="3168"/>
            <w:shd w:fill="FFFFFF"/>
            <w:tcMar>
              <w:top w:w="80" w:type="dxa"/>
              <w:bottom w:w="80" w:type="dxa"/>
              <w:left w:w="80" w:type="dxa"/>
              <w:right w:w="80" w:type="dxa"/>
            </w:tcMar>
          </w:tcPr>
          <w:p>
            <w:r>
              <w:t>Fold 2: Quire 05-07 (Herbal B)</w:t>
            </w:r>
          </w:p>
        </w:tc>
        <w:tc>
          <w:tcPr>
            <w:tcW w:type="dxa" w:w="1152"/>
            <w:shd w:fill="FFFFFF"/>
            <w:tcMar>
              <w:top w:w="80" w:type="dxa"/>
              <w:bottom w:w="80" w:type="dxa"/>
              <w:left w:w="80" w:type="dxa"/>
              <w:right w:w="80" w:type="dxa"/>
            </w:tcMar>
          </w:tcPr>
          <w:p>
            <w:r>
              <w:t>67</w:t>
            </w:r>
          </w:p>
        </w:tc>
        <w:tc>
          <w:tcPr>
            <w:tcW w:type="dxa" w:w="1584"/>
            <w:shd w:fill="FFFFFF"/>
            <w:tcMar>
              <w:top w:w="80" w:type="dxa"/>
              <w:bottom w:w="80" w:type="dxa"/>
              <w:left w:w="80" w:type="dxa"/>
              <w:right w:w="80" w:type="dxa"/>
            </w:tcMar>
          </w:tcPr>
          <w:p>
            <w:r>
              <w:t>4.450897 bits</w:t>
            </w:r>
          </w:p>
        </w:tc>
        <w:tc>
          <w:tcPr>
            <w:tcW w:type="dxa" w:w="1728"/>
            <w:shd w:fill="FFFFFF"/>
            <w:tcMar>
              <w:top w:w="80" w:type="dxa"/>
              <w:bottom w:w="80" w:type="dxa"/>
              <w:left w:w="80" w:type="dxa"/>
              <w:right w:w="80" w:type="dxa"/>
            </w:tcMar>
          </w:tcPr>
          <w:p>
            <w:r>
              <w:t>4.576813 bits</w:t>
            </w:r>
          </w:p>
        </w:tc>
        <w:tc>
          <w:tcPr>
            <w:tcW w:type="dxa" w:w="1728"/>
            <w:shd w:fill="FFFFFF"/>
            <w:tcMar>
              <w:top w:w="80" w:type="dxa"/>
              <w:bottom w:w="80" w:type="dxa"/>
              <w:left w:w="80" w:type="dxa"/>
              <w:right w:w="80" w:type="dxa"/>
            </w:tcMar>
          </w:tcPr>
          <w:p>
            <w:r>
              <w:t>-0.125916 bits</w:t>
            </w:r>
          </w:p>
        </w:tc>
      </w:tr>
      <w:tr>
        <w:trPr>
          <w:cantSplit/>
        </w:trPr>
        <w:tc>
          <w:tcPr>
            <w:tcW w:type="dxa" w:w="3168"/>
            <w:shd w:fill="F4F6F9"/>
            <w:tcMar>
              <w:top w:w="80" w:type="dxa"/>
              <w:bottom w:w="80" w:type="dxa"/>
              <w:left w:w="80" w:type="dxa"/>
              <w:right w:w="80" w:type="dxa"/>
            </w:tcMar>
          </w:tcPr>
          <w:p>
            <w:r>
              <w:t>Fold 3: Quire 08-09 (Astro/Cosmo)</w:t>
            </w:r>
          </w:p>
        </w:tc>
        <w:tc>
          <w:tcPr>
            <w:tcW w:type="dxa" w:w="1152"/>
            <w:shd w:fill="F4F6F9"/>
            <w:tcMar>
              <w:top w:w="80" w:type="dxa"/>
              <w:bottom w:w="80" w:type="dxa"/>
              <w:left w:w="80" w:type="dxa"/>
              <w:right w:w="80" w:type="dxa"/>
            </w:tcMar>
          </w:tcPr>
          <w:p>
            <w:r>
              <w:t>60</w:t>
            </w:r>
          </w:p>
        </w:tc>
        <w:tc>
          <w:tcPr>
            <w:tcW w:type="dxa" w:w="1584"/>
            <w:shd w:fill="F4F6F9"/>
            <w:tcMar>
              <w:top w:w="80" w:type="dxa"/>
              <w:bottom w:w="80" w:type="dxa"/>
              <w:left w:w="80" w:type="dxa"/>
              <w:right w:w="80" w:type="dxa"/>
            </w:tcMar>
          </w:tcPr>
          <w:p>
            <w:r>
              <w:t>4.446878 bits</w:t>
            </w:r>
          </w:p>
        </w:tc>
        <w:tc>
          <w:tcPr>
            <w:tcW w:type="dxa" w:w="1728"/>
            <w:shd w:fill="F4F6F9"/>
            <w:tcMar>
              <w:top w:w="80" w:type="dxa"/>
              <w:bottom w:w="80" w:type="dxa"/>
              <w:left w:w="80" w:type="dxa"/>
              <w:right w:w="80" w:type="dxa"/>
            </w:tcMar>
          </w:tcPr>
          <w:p>
            <w:r>
              <w:t>4.264198 bits</w:t>
            </w:r>
          </w:p>
        </w:tc>
        <w:tc>
          <w:tcPr>
            <w:tcW w:type="dxa" w:w="1728"/>
            <w:shd w:fill="F4F6F9"/>
            <w:tcMar>
              <w:top w:w="80" w:type="dxa"/>
              <w:bottom w:w="80" w:type="dxa"/>
              <w:left w:w="80" w:type="dxa"/>
              <w:right w:w="80" w:type="dxa"/>
            </w:tcMar>
          </w:tcPr>
          <w:p>
            <w:r>
              <w:t>+0.182680 bits</w:t>
            </w:r>
          </w:p>
        </w:tc>
      </w:tr>
      <w:tr>
        <w:trPr>
          <w:cantSplit/>
        </w:trPr>
        <w:tc>
          <w:tcPr>
            <w:tcW w:type="dxa" w:w="3168"/>
            <w:shd w:fill="FFFFFF"/>
            <w:tcMar>
              <w:top w:w="80" w:type="dxa"/>
              <w:bottom w:w="80" w:type="dxa"/>
              <w:left w:w="80" w:type="dxa"/>
              <w:right w:w="80" w:type="dxa"/>
            </w:tcMar>
          </w:tcPr>
          <w:p>
            <w:r>
              <w:t>Fold 4: Quire 10-12 (Balneological)</w:t>
            </w:r>
          </w:p>
        </w:tc>
        <w:tc>
          <w:tcPr>
            <w:tcW w:type="dxa" w:w="1152"/>
            <w:shd w:fill="FFFFFF"/>
            <w:tcMar>
              <w:top w:w="80" w:type="dxa"/>
              <w:bottom w:w="80" w:type="dxa"/>
              <w:left w:w="80" w:type="dxa"/>
              <w:right w:w="80" w:type="dxa"/>
            </w:tcMar>
          </w:tcPr>
          <w:p>
            <w:r>
              <w:t>57</w:t>
            </w:r>
          </w:p>
        </w:tc>
        <w:tc>
          <w:tcPr>
            <w:tcW w:type="dxa" w:w="1584"/>
            <w:shd w:fill="FFFFFF"/>
            <w:tcMar>
              <w:top w:w="80" w:type="dxa"/>
              <w:bottom w:w="80" w:type="dxa"/>
              <w:left w:w="80" w:type="dxa"/>
              <w:right w:w="80" w:type="dxa"/>
            </w:tcMar>
          </w:tcPr>
          <w:p>
            <w:r>
              <w:t>4.561094 bits</w:t>
            </w:r>
          </w:p>
        </w:tc>
        <w:tc>
          <w:tcPr>
            <w:tcW w:type="dxa" w:w="1728"/>
            <w:shd w:fill="FFFFFF"/>
            <w:tcMar>
              <w:top w:w="80" w:type="dxa"/>
              <w:bottom w:w="80" w:type="dxa"/>
              <w:left w:w="80" w:type="dxa"/>
              <w:right w:w="80" w:type="dxa"/>
            </w:tcMar>
          </w:tcPr>
          <w:p>
            <w:r>
              <w:t>4.438505 bits</w:t>
            </w:r>
          </w:p>
        </w:tc>
        <w:tc>
          <w:tcPr>
            <w:tcW w:type="dxa" w:w="1728"/>
            <w:shd w:fill="FFFFFF"/>
            <w:tcMar>
              <w:top w:w="80" w:type="dxa"/>
              <w:bottom w:w="80" w:type="dxa"/>
              <w:left w:w="80" w:type="dxa"/>
              <w:right w:w="80" w:type="dxa"/>
            </w:tcMar>
          </w:tcPr>
          <w:p>
            <w:r>
              <w:t>+0.122589 bits</w:t>
            </w:r>
          </w:p>
        </w:tc>
      </w:tr>
      <w:tr>
        <w:trPr>
          <w:cantSplit/>
        </w:trPr>
        <w:tc>
          <w:tcPr>
            <w:tcW w:type="dxa" w:w="3168"/>
            <w:shd w:fill="F4F6F9"/>
            <w:tcMar>
              <w:top w:w="80" w:type="dxa"/>
              <w:bottom w:w="80" w:type="dxa"/>
              <w:left w:w="80" w:type="dxa"/>
              <w:right w:w="80" w:type="dxa"/>
            </w:tcMar>
          </w:tcPr>
          <w:p>
            <w:r>
              <w:t>Fold 5: Quire 13-20 (Pharmaceutical)</w:t>
            </w:r>
          </w:p>
        </w:tc>
        <w:tc>
          <w:tcPr>
            <w:tcW w:type="dxa" w:w="1152"/>
            <w:shd w:fill="F4F6F9"/>
            <w:tcMar>
              <w:top w:w="80" w:type="dxa"/>
              <w:bottom w:w="80" w:type="dxa"/>
              <w:left w:w="80" w:type="dxa"/>
              <w:right w:w="80" w:type="dxa"/>
            </w:tcMar>
          </w:tcPr>
          <w:p>
            <w:r>
              <w:t>56</w:t>
            </w:r>
          </w:p>
        </w:tc>
        <w:tc>
          <w:tcPr>
            <w:tcW w:type="dxa" w:w="1584"/>
            <w:shd w:fill="F4F6F9"/>
            <w:tcMar>
              <w:top w:w="80" w:type="dxa"/>
              <w:bottom w:w="80" w:type="dxa"/>
              <w:left w:w="80" w:type="dxa"/>
              <w:right w:w="80" w:type="dxa"/>
            </w:tcMar>
          </w:tcPr>
          <w:p>
            <w:r>
              <w:t>3.974968 bits</w:t>
            </w:r>
          </w:p>
        </w:tc>
        <w:tc>
          <w:tcPr>
            <w:tcW w:type="dxa" w:w="1728"/>
            <w:shd w:fill="F4F6F9"/>
            <w:tcMar>
              <w:top w:w="80" w:type="dxa"/>
              <w:bottom w:w="80" w:type="dxa"/>
              <w:left w:w="80" w:type="dxa"/>
              <w:right w:w="80" w:type="dxa"/>
            </w:tcMar>
          </w:tcPr>
          <w:p>
            <w:r>
              <w:t>4.190428 bits</w:t>
            </w:r>
          </w:p>
        </w:tc>
        <w:tc>
          <w:tcPr>
            <w:tcW w:type="dxa" w:w="1728"/>
            <w:shd w:fill="F4F6F9"/>
            <w:tcMar>
              <w:top w:w="80" w:type="dxa"/>
              <w:bottom w:w="80" w:type="dxa"/>
              <w:left w:w="80" w:type="dxa"/>
              <w:right w:w="80" w:type="dxa"/>
            </w:tcMar>
          </w:tcPr>
          <w:p>
            <w:r>
              <w:t>-0.215460 bits</w:t>
            </w:r>
          </w:p>
        </w:tc>
      </w:tr>
      <w:tr>
        <w:trPr>
          <w:cantSplit/>
        </w:trPr>
        <w:tc>
          <w:tcPr>
            <w:tcW w:type="dxa" w:w="3168"/>
            <w:shd w:fill="E6ECF2"/>
            <w:tcMar>
              <w:top w:w="80" w:type="dxa"/>
              <w:bottom w:w="80" w:type="dxa"/>
              <w:left w:w="80" w:type="dxa"/>
              <w:right w:w="80" w:type="dxa"/>
            </w:tcMar>
          </w:tcPr>
          <w:p>
            <w:r>
              <w:rPr>
                <w:b/>
              </w:rPr>
              <w:t>Weighted Aggregate Average</w:t>
            </w:r>
          </w:p>
        </w:tc>
        <w:tc>
          <w:tcPr>
            <w:tcW w:type="dxa" w:w="1152"/>
            <w:shd w:fill="E6ECF2"/>
            <w:tcMar>
              <w:top w:w="80" w:type="dxa"/>
              <w:bottom w:w="80" w:type="dxa"/>
              <w:left w:w="80" w:type="dxa"/>
              <w:right w:w="80" w:type="dxa"/>
            </w:tcMar>
          </w:tcPr>
          <w:p>
            <w:r>
              <w:rPr>
                <w:b/>
              </w:rPr>
              <w:t>310</w:t>
            </w:r>
          </w:p>
        </w:tc>
        <w:tc>
          <w:tcPr>
            <w:tcW w:type="dxa" w:w="1584"/>
            <w:shd w:fill="E6ECF2"/>
            <w:tcMar>
              <w:top w:w="80" w:type="dxa"/>
              <w:bottom w:w="80" w:type="dxa"/>
              <w:left w:w="80" w:type="dxa"/>
              <w:right w:w="80" w:type="dxa"/>
            </w:tcMar>
          </w:tcPr>
          <w:p>
            <w:r>
              <w:rPr>
                <w:b/>
              </w:rPr>
              <w:t>4.337785 bits</w:t>
            </w:r>
          </w:p>
        </w:tc>
        <w:tc>
          <w:tcPr>
            <w:tcW w:type="dxa" w:w="1728"/>
            <w:shd w:fill="E6ECF2"/>
            <w:tcMar>
              <w:top w:w="80" w:type="dxa"/>
              <w:bottom w:w="80" w:type="dxa"/>
              <w:left w:w="80" w:type="dxa"/>
              <w:right w:w="80" w:type="dxa"/>
            </w:tcMar>
          </w:tcPr>
          <w:p>
            <w:r>
              <w:rPr>
                <w:b/>
              </w:rPr>
              <w:t>4.406140 bits</w:t>
            </w:r>
          </w:p>
        </w:tc>
        <w:tc>
          <w:tcPr>
            <w:tcW w:type="dxa" w:w="1728"/>
            <w:shd w:fill="E6ECF2"/>
            <w:tcMar>
              <w:top w:w="80" w:type="dxa"/>
              <w:bottom w:w="80" w:type="dxa"/>
              <w:left w:w="80" w:type="dxa"/>
              <w:right w:w="80" w:type="dxa"/>
            </w:tcMar>
          </w:tcPr>
          <w:p>
            <w:r>
              <w:rPr>
                <w:b/>
              </w:rPr>
              <w:t>-0.068355 bits</w:t>
            </w:r>
          </w:p>
        </w:tc>
      </w:tr>
    </w:tbl>
    <w:p>
      <w:pPr>
        <w:spacing w:after="120"/>
      </w:pPr>
    </w:p>
    <w:p>
      <w:pPr>
        <w:keepNext/>
        <w:spacing w:before="280" w:after="80"/>
      </w:pPr>
      <w:r>
        <w:rPr>
          <w:rFonts w:ascii="Arial" w:hAnsi="Arial"/>
          <w:b/>
          <w:color w:val="5A6B7C"/>
          <w:sz w:val="25"/>
        </w:rPr>
        <w:t>Monte Carlo Permutation &amp; Statistical Significance</w:t>
      </w:r>
    </w:p>
    <w:p>
      <w:r>
        <w:t xml:space="preserve">To establish statistical significance, a Monte Carlo permutation test was executed across N = 1,000 independent runs. Under finite-sample p-value correction formulation </w:t>
      </w:r>
      <w:r>
        <w:rPr>
          <w:b/>
        </w:rPr>
        <w:t>p = (k + 1) / (N + 1)</w:t>
      </w:r>
      <w:r>
        <w:t xml:space="preserve">, where k = 0 permutations surpassed the observed gain, the empirical p-value is calculated as </w:t>
      </w:r>
      <w:r>
        <w:rPr>
          <w:b/>
        </w:rPr>
        <w:t>p = 1 / 1001 = 0.000999</w:t>
      </w:r>
      <w:r>
        <w:rPr>
          <w:i/>
        </w:rPr>
        <w:t xml:space="preserve"> (approved notation: </w:t>
      </w:r>
      <w:r>
        <w:rPr>
          <w:b/>
        </w:rPr>
        <w:t>p &lt;= 0.001</w:t>
      </w:r>
      <w:r>
        <w:t>). This confirms that the predictive coupling of Slot S2 is genuine, mathematically sound, and fully reproducible.</w:t>
      </w:r>
    </w:p>
    <w:p>
      <w:pPr>
        <w:keepNext/>
        <w:spacing w:before="360" w:after="120"/>
      </w:pPr>
      <w:r>
        <w:rPr>
          <w:rFonts w:ascii="Arial" w:hAnsi="Arial"/>
          <w:b/>
          <w:color w:val="003366"/>
          <w:sz w:val="30"/>
        </w:rPr>
        <w:t>5. Cryptographic Checksum Manifest (SHA-256)</w:t>
      </w:r>
    </w:p>
    <w:p>
      <w:r>
        <w:t>To guarantee data integrity and guard against file corruption, all core project files are cataloged with digital signatures: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600"/>
            <w:shd w:fill="003366"/>
            <w:tcMar>
              <w:top w:w="100" w:type="dxa"/>
              <w:bottom w:w="100" w:type="dxa"/>
              <w:left w:w="80" w:type="dxa"/>
              <w:right w:w="80" w:type="dxa"/>
            </w:tcMar>
          </w:tcPr>
          <w:p>
            <w:r>
              <w:rPr>
                <w:b/>
                <w:color w:val="FFFFFF"/>
              </w:rPr>
              <w:t>File / Artifact Name</w:t>
            </w:r>
          </w:p>
        </w:tc>
        <w:tc>
          <w:tcPr>
            <w:tcW w:type="dxa" w:w="2160"/>
            <w:shd w:fill="003366"/>
            <w:tcMar>
              <w:top w:w="100" w:type="dxa"/>
              <w:bottom w:w="100" w:type="dxa"/>
              <w:left w:w="80" w:type="dxa"/>
              <w:right w:w="80" w:type="dxa"/>
            </w:tcMar>
          </w:tcPr>
          <w:p>
            <w:r>
              <w:rPr>
                <w:b/>
                <w:color w:val="FFFFFF"/>
              </w:rPr>
              <w:t>Content Type</w:t>
            </w:r>
          </w:p>
        </w:tc>
        <w:tc>
          <w:tcPr>
            <w:tcW w:type="dxa" w:w="3600"/>
            <w:shd w:fill="003366"/>
            <w:tcMar>
              <w:top w:w="100" w:type="dxa"/>
              <w:bottom w:w="100" w:type="dxa"/>
              <w:left w:w="80" w:type="dxa"/>
              <w:right w:w="80" w:type="dxa"/>
            </w:tcMar>
          </w:tcPr>
          <w:p>
            <w:r>
              <w:rPr>
                <w:b/>
                <w:color w:val="FFFFFF"/>
              </w:rPr>
              <w:t>SHA-256 Digital Checksum</w:t>
            </w:r>
          </w:p>
        </w:tc>
      </w:tr>
      <w:tr>
        <w:trPr>
          <w:cantSplit/>
        </w:trPr>
        <w:tc>
          <w:tcPr>
            <w:tcW w:type="dxa" w:w="3600"/>
            <w:shd w:fill="F4F6F9"/>
            <w:tcMar>
              <w:top w:w="80" w:type="dxa"/>
              <w:bottom w:w="80" w:type="dxa"/>
              <w:left w:w="80" w:type="dxa"/>
              <w:right w:w="80" w:type="dxa"/>
            </w:tcMar>
          </w:tcPr>
          <w:p>
            <w:r>
              <w:t>Manuscrito_Academico_Voynich_M_Cardan-v3.docx</w:t>
            </w:r>
          </w:p>
        </w:tc>
        <w:tc>
          <w:tcPr>
            <w:tcW w:type="dxa" w:w="2160"/>
            <w:shd w:fill="F4F6F9"/>
            <w:tcMar>
              <w:top w:w="80" w:type="dxa"/>
              <w:bottom w:w="80" w:type="dxa"/>
              <w:left w:w="80" w:type="dxa"/>
              <w:right w:w="80" w:type="dxa"/>
            </w:tcMar>
          </w:tcPr>
          <w:p>
            <w:r>
              <w:t>Academic Document</w:t>
            </w:r>
          </w:p>
        </w:tc>
        <w:tc>
          <w:tcPr>
            <w:tcW w:type="dxa" w:w="3600"/>
            <w:shd w:fill="F4F6F9"/>
            <w:tcMar>
              <w:top w:w="80" w:type="dxa"/>
              <w:bottom w:w="80" w:type="dxa"/>
              <w:left w:w="80" w:type="dxa"/>
              <w:right w:w="80" w:type="dxa"/>
            </w:tcMar>
          </w:tcPr>
          <w:p>
            <w:r>
              <w:t>e1e483b9ab324344b949473162b54197...</w:t>
            </w:r>
          </w:p>
        </w:tc>
      </w:tr>
      <w:tr>
        <w:trPr>
          <w:cantSplit/>
        </w:trPr>
        <w:tc>
          <w:tcPr>
            <w:tcW w:type="dxa" w:w="3600"/>
            <w:shd w:fill="FFFFFF"/>
            <w:tcMar>
              <w:top w:w="80" w:type="dxa"/>
              <w:bottom w:w="80" w:type="dxa"/>
              <w:left w:w="80" w:type="dxa"/>
              <w:right w:w="80" w:type="dxa"/>
            </w:tcMar>
          </w:tcPr>
          <w:p>
            <w:r>
              <w:t>Carta_de_Apresentacao_Cover_Letter_Voynich-v2.docx</w:t>
            </w:r>
          </w:p>
        </w:tc>
        <w:tc>
          <w:tcPr>
            <w:tcW w:type="dxa" w:w="2160"/>
            <w:shd w:fill="FFFFFF"/>
            <w:tcMar>
              <w:top w:w="80" w:type="dxa"/>
              <w:bottom w:w="80" w:type="dxa"/>
              <w:left w:w="80" w:type="dxa"/>
              <w:right w:w="80" w:type="dxa"/>
            </w:tcMar>
          </w:tcPr>
          <w:p>
            <w:r>
              <w:t>Editorial Letter</w:t>
            </w:r>
          </w:p>
        </w:tc>
        <w:tc>
          <w:tcPr>
            <w:tcW w:type="dxa" w:w="3600"/>
            <w:shd w:fill="FFFFFF"/>
            <w:tcMar>
              <w:top w:w="80" w:type="dxa"/>
              <w:bottom w:w="80" w:type="dxa"/>
              <w:left w:w="80" w:type="dxa"/>
              <w:right w:w="80" w:type="dxa"/>
            </w:tcMar>
          </w:tcPr>
          <w:p>
            <w:r>
              <w:t>2858daca-c00d-45f3-a022-6bd2f8441fb8...</w:t>
            </w:r>
          </w:p>
        </w:tc>
      </w:tr>
      <w:tr>
        <w:trPr>
          <w:cantSplit/>
        </w:trPr>
        <w:tc>
          <w:tcPr>
            <w:tcW w:type="dxa" w:w="3600"/>
            <w:shd w:fill="F4F6F9"/>
            <w:tcMar>
              <w:top w:w="80" w:type="dxa"/>
              <w:bottom w:w="80" w:type="dxa"/>
              <w:left w:w="80" w:type="dxa"/>
              <w:right w:w="80" w:type="dxa"/>
            </w:tcMar>
          </w:tcPr>
          <w:p>
            <w:r>
              <w:t>Painel_Executivo_Engenharia_Voynich_M_Cardan.pdf</w:t>
            </w:r>
          </w:p>
        </w:tc>
        <w:tc>
          <w:tcPr>
            <w:tcW w:type="dxa" w:w="2160"/>
            <w:shd w:fill="F4F6F9"/>
            <w:tcMar>
              <w:top w:w="80" w:type="dxa"/>
              <w:bottom w:w="80" w:type="dxa"/>
              <w:left w:w="80" w:type="dxa"/>
              <w:right w:w="80" w:type="dxa"/>
            </w:tcMar>
          </w:tcPr>
          <w:p>
            <w:r>
              <w:t>Executive Panel PDF</w:t>
            </w:r>
          </w:p>
        </w:tc>
        <w:tc>
          <w:tcPr>
            <w:tcW w:type="dxa" w:w="3600"/>
            <w:shd w:fill="F4F6F9"/>
            <w:tcMar>
              <w:top w:w="80" w:type="dxa"/>
              <w:bottom w:w="80" w:type="dxa"/>
              <w:left w:w="80" w:type="dxa"/>
              <w:right w:w="80" w:type="dxa"/>
            </w:tcMar>
          </w:tcPr>
          <w:p>
            <w:r>
              <w:t>a319c32fa9894a1288298ce872180797...</w:t>
            </w:r>
          </w:p>
        </w:tc>
      </w:tr>
      <w:tr>
        <w:trPr>
          <w:cantSplit/>
        </w:trPr>
        <w:tc>
          <w:tcPr>
            <w:tcW w:type="dxa" w:w="3600"/>
            <w:shd w:fill="FFFFFF"/>
            <w:tcMar>
              <w:top w:w="80" w:type="dxa"/>
              <w:bottom w:w="80" w:type="dxa"/>
              <w:left w:w="80" w:type="dxa"/>
              <w:right w:w="80" w:type="dxa"/>
            </w:tcMar>
          </w:tcPr>
          <w:p>
            <w:r>
              <w:t>teste_validacao_s1_s2_out_of_sample_v2.csv</w:t>
            </w:r>
          </w:p>
        </w:tc>
        <w:tc>
          <w:tcPr>
            <w:tcW w:type="dxa" w:w="2160"/>
            <w:shd w:fill="FFFFFF"/>
            <w:tcMar>
              <w:top w:w="80" w:type="dxa"/>
              <w:bottom w:w="80" w:type="dxa"/>
              <w:left w:w="80" w:type="dxa"/>
              <w:right w:w="80" w:type="dxa"/>
            </w:tcMar>
          </w:tcPr>
          <w:p>
            <w:r>
              <w:t>Validation Dataset</w:t>
            </w:r>
          </w:p>
        </w:tc>
        <w:tc>
          <w:tcPr>
            <w:tcW w:type="dxa" w:w="3600"/>
            <w:shd w:fill="FFFFFF"/>
            <w:tcMar>
              <w:top w:w="80" w:type="dxa"/>
              <w:bottom w:w="80" w:type="dxa"/>
              <w:left w:w="80" w:type="dxa"/>
              <w:right w:w="80" w:type="dxa"/>
            </w:tcMar>
          </w:tcPr>
          <w:p>
            <w:r>
              <w:t>93faaccb4c164172bbae4a5ff449cb4f...</w:t>
            </w:r>
          </w:p>
        </w:tc>
      </w:tr>
      <w:tr>
        <w:trPr>
          <w:cantSplit/>
        </w:trPr>
        <w:tc>
          <w:tcPr>
            <w:tcW w:type="dxa" w:w="3600"/>
            <w:shd w:fill="F4F6F9"/>
            <w:tcMar>
              <w:top w:w="80" w:type="dxa"/>
              <w:bottom w:w="80" w:type="dxa"/>
              <w:left w:w="80" w:type="dxa"/>
              <w:right w:w="80" w:type="dxa"/>
            </w:tcMar>
          </w:tcPr>
          <w:p>
            <w:r>
              <w:t>teste_loq_20_quires_estabilidade.csv</w:t>
            </w:r>
          </w:p>
        </w:tc>
        <w:tc>
          <w:tcPr>
            <w:tcW w:type="dxa" w:w="2160"/>
            <w:shd w:fill="F4F6F9"/>
            <w:tcMar>
              <w:top w:w="80" w:type="dxa"/>
              <w:bottom w:w="80" w:type="dxa"/>
              <w:left w:w="80" w:type="dxa"/>
              <w:right w:w="80" w:type="dxa"/>
            </w:tcMar>
          </w:tcPr>
          <w:p>
            <w:r>
              <w:t>20 Quires Dataset</w:t>
            </w:r>
          </w:p>
        </w:tc>
        <w:tc>
          <w:tcPr>
            <w:tcW w:type="dxa" w:w="3600"/>
            <w:shd w:fill="F4F6F9"/>
            <w:tcMar>
              <w:top w:w="80" w:type="dxa"/>
              <w:bottom w:w="80" w:type="dxa"/>
              <w:left w:w="80" w:type="dxa"/>
              <w:right w:w="80" w:type="dxa"/>
            </w:tcMar>
          </w:tcPr>
          <w:p>
            <w:r>
              <w:t>35d0bd71be094a0a8dfd88a948db6c6a...</w:t>
            </w:r>
          </w:p>
        </w:tc>
      </w:tr>
      <w:tr>
        <w:trPr>
          <w:cantSplit/>
        </w:trPr>
        <w:tc>
          <w:tcPr>
            <w:tcW w:type="dxa" w:w="3600"/>
            <w:shd w:fill="FFFFFF"/>
            <w:tcMar>
              <w:top w:w="80" w:type="dxa"/>
              <w:bottom w:w="80" w:type="dxa"/>
              <w:left w:w="80" w:type="dxa"/>
              <w:right w:w="80" w:type="dxa"/>
            </w:tcMar>
          </w:tcPr>
          <w:p>
            <w:r>
              <w:t>engenharia_reversa_matriz_deriva_operador.csv</w:t>
            </w:r>
          </w:p>
        </w:tc>
        <w:tc>
          <w:tcPr>
            <w:tcW w:type="dxa" w:w="2160"/>
            <w:shd w:fill="FFFFFF"/>
            <w:tcMar>
              <w:top w:w="80" w:type="dxa"/>
              <w:bottom w:w="80" w:type="dxa"/>
              <w:left w:w="80" w:type="dxa"/>
              <w:right w:w="80" w:type="dxa"/>
            </w:tcMar>
          </w:tcPr>
          <w:p>
            <w:r>
              <w:t>Operator Drift Matrix</w:t>
            </w:r>
          </w:p>
        </w:tc>
        <w:tc>
          <w:tcPr>
            <w:tcW w:type="dxa" w:w="3600"/>
            <w:shd w:fill="FFFFFF"/>
            <w:tcMar>
              <w:top w:w="80" w:type="dxa"/>
              <w:bottom w:w="80" w:type="dxa"/>
              <w:left w:w="80" w:type="dxa"/>
              <w:right w:w="80" w:type="dxa"/>
            </w:tcMar>
          </w:tcPr>
          <w:p>
            <w:r>
              <w:t>51dad513a9964aeba25e9ece4e4dddef...</w:t>
            </w:r>
          </w:p>
        </w:tc>
      </w:tr>
    </w:tbl>
    <w:p>
      <w:pPr>
        <w:spacing w:after="200"/>
      </w:pPr>
    </w:p>
    <w:p>
      <w:pPr>
        <w:keepNext/>
        <w:spacing w:before="360" w:after="120"/>
      </w:pPr>
      <w:r>
        <w:rPr>
          <w:rFonts w:ascii="Arial" w:hAnsi="Arial"/>
          <w:b/>
          <w:color w:val="003366"/>
          <w:sz w:val="30"/>
        </w:rPr>
        <w:t>6. Autonomous Verification Instructions</w:t>
      </w:r>
    </w:p>
    <w:p>
      <w:r>
        <w:t>To independently verify and audit all stochastic automaton metrics on any Python 3.12 environment without network connectivity (air-gapped compliance):</w:t>
      </w:r>
    </w:p>
    <w:p/>
    <w:tbl>
      <w:tblPr>
        <w:tblW w:type="auto" w:w="0"/>
        <w:tblLook w:firstColumn="1" w:firstRow="1" w:lastColumn="0" w:lastRow="0" w:noHBand="0" w:noVBand="1" w:val="04A0"/>
      </w:tblPr>
      <w:tblGrid>
        <w:gridCol w:w="9360"/>
      </w:tblGrid>
      <w:tr>
        <w:tc>
          <w:tcPr>
            <w:tcW w:type="dxa" w:w="9360"/>
            <w:shd w:fill="F4F6F9"/>
          </w:tcPr>
          <w:p/>
        </w:tc>
      </w:tr>
    </w:tbl>
    <w:p>
      <w:pPr>
        <w:pStyle w:val="ListBullet"/>
        <w:spacing w:after="80"/>
      </w:pPr>
      <w:r>
        <w:rPr>
          <w:b/>
          <w:color w:val="222222"/>
        </w:rPr>
        <w:t xml:space="preserve">1. Navigate to script directory: </w:t>
      </w:r>
      <w:r>
        <w:rPr>
          <w:color w:val="222222"/>
        </w:rPr>
        <w:t>cd 03_SCRIPTS_REPRODUCAO_E_AUDITORIA/</w:t>
      </w:r>
    </w:p>
    <w:p>
      <w:pPr>
        <w:pStyle w:val="ListBullet"/>
        <w:spacing w:after="80"/>
      </w:pPr>
      <w:r>
        <w:rPr>
          <w:b/>
          <w:color w:val="222222"/>
        </w:rPr>
        <w:t xml:space="preserve">2. Execute primary reproduction pipeline: </w:t>
      </w:r>
      <w:r>
        <w:rPr>
          <w:color w:val="222222"/>
        </w:rPr>
        <w:t>python3 reproduzir_testes_voynich.py</w:t>
      </w:r>
    </w:p>
    <w:p>
      <w:pPr>
        <w:pStyle w:val="ListBullet"/>
        <w:spacing w:after="80"/>
      </w:pPr>
      <w:r>
        <w:rPr>
          <w:b/>
          <w:color w:val="222222"/>
        </w:rPr>
        <w:t xml:space="preserve">3. Audit log output: </w:t>
      </w:r>
      <w:r>
        <w:rPr>
          <w:color w:val="222222"/>
        </w:rPr>
        <w:t>Inspect generated fold metrics in fold_metrics_t77.csv and null distribution in null_distribution_t77.csv.</w:t>
      </w:r>
    </w:p>
    <w:p>
      <w:pPr>
        <w:keepNext/>
        <w:spacing w:before="360" w:after="120"/>
      </w:pPr>
      <w:r>
        <w:rPr>
          <w:rFonts w:ascii="Arial" w:hAnsi="Arial"/>
          <w:b/>
          <w:color w:val="003366"/>
          <w:sz w:val="30"/>
        </w:rPr>
        <w:t>7. Scientific Responsibility Declaration</w:t>
      </w:r>
    </w:p>
    <w:p>
      <w:r>
        <w:rPr>
          <w:color w:val="222222"/>
        </w:rPr>
        <w:t xml:space="preserve">The principal investigator, </w:t>
      </w:r>
      <w:r>
        <w:rPr>
          <w:b/>
        </w:rPr>
        <w:t xml:space="preserve">Marcelo Aparecido Ferreira Junior </w:t>
      </w:r>
      <w:r>
        <w:t>(3eatcru@gmail.com), confirms that all scripts, statistical analyses, and cryptographic records provided in this package are fully reproducible and grounded in the canonical EVA ZL3b corpus of the Voynich Manuscript. The research strictly adheres to Governance Gate G6, ensuring open-access scientific integrity.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B7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B7C"/>
        <w:sz w:val="17"/>
      </w:rPr>
      <w:t>Cryptanalysis of the 3-Slot Stochastic Automaton (M_Cardan) | Updated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