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Reconstrução e Validação do Autômato Estocástico de 3 Slots (M_Cardan) no Manuscrito Voynich</w:t>
      </w:r>
    </w:p>
    <w:p>
      <w:pPr>
        <w:jc w:val="center"/>
      </w:pPr>
      <w:r>
        <w:rPr>
          <w:i/>
        </w:rPr>
        <w:t>Marcelo Aparecido Ferreira Junior</w:t>
        <w:br/>
        <w:t>3eatcru@gmail.com | Outubro de 2026</w:t>
        <w:br/>
        <w:t>Versão v3 (Estável)</w:t>
      </w:r>
    </w:p>
    <w:p>
      <w:pPr>
        <w:pStyle w:val="Heading1"/>
      </w:pPr>
      <w:r>
        <w:t>Resumo Executivo</w:t>
      </w:r>
    </w:p>
    <w:p>
      <w:r>
        <w:t>Demonstramos quantitativamente que o Manuscrito Voynich não é um idioma natural nem uma cifra de substituição linguística, mas o produto de um dispositivo estocástico mecânico de 3 slots (M_Cardan). A análise estrutural revela uma esparsidade de 91,58% na matriz de adjacência inter-token (S3 -&gt; S1), invariância regional nos 20 quires no teste LOQ (esparsidade média de 92,07%) e resiliência a ruído paleográfico (Rank SVD &lt; 11 sob 20% de ruído no Teste T73). O modelo atinge a máxima parcimônia paramétrica sob o princípio do Menor Comprimento de Descrição (MDL) no Portão G4.</w:t>
      </w:r>
    </w:p>
    <w:p>
      <w:pPr>
        <w:pStyle w:val="Heading1"/>
      </w:pPr>
      <w:r>
        <w:t>1. A Arquitetura do Autômato de 3 Slots</w:t>
      </w:r>
    </w:p>
    <w:p>
      <w:r>
        <w:t>Cada token no manuscrito é gerado pela justaposição física de três posições distintas:</w:t>
        <w:br/>
        <w:t>• Slot S1 (Onset/Entrada): Define a abertura (ex: qok-, ch-, sh-, k-).</w:t>
        <w:br/>
        <w:t>• Slot S2 (Núcleo/Lâmina Móvel): Lâmina medial com variações vocálicas (-e-, -a-, -i-, -ch-).</w:t>
        <w:br/>
        <w:t>• Slot S3 (Borda Terminal): Família de fechamento e acoplamento (Família AIN, Família EDY, Classe C1).</w:t>
      </w:r>
    </w:p>
    <w:p>
      <w:pPr>
        <w:pStyle w:val="Heading1"/>
      </w:pPr>
      <w:r>
        <w:t>2. Resultados Criptanalíticos Centrais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Métrica Diagnóstica</w:t>
            </w:r>
          </w:p>
        </w:tc>
        <w:tc>
          <w:tcPr>
            <w:tcW w:type="dxa" w:w="2340"/>
          </w:tcPr>
          <w:p>
            <w:r>
              <w:t>Valor Observado</w:t>
            </w:r>
          </w:p>
        </w:tc>
        <w:tc>
          <w:tcPr>
            <w:tcW w:type="dxa" w:w="2340"/>
          </w:tcPr>
          <w:p>
            <w:r>
              <w:t>Controle Nulo</w:t>
            </w:r>
          </w:p>
        </w:tc>
        <w:tc>
          <w:tcPr>
            <w:tcW w:type="dxa" w:w="2340"/>
          </w:tcPr>
          <w:p>
            <w:r>
              <w:t>Veredito</w:t>
            </w:r>
          </w:p>
        </w:tc>
      </w:tr>
      <w:tr>
        <w:tc>
          <w:tcPr>
            <w:tcW w:type="dxa" w:w="2340"/>
          </w:tcPr>
          <w:p>
            <w:r>
              <w:t>Esparsidade S3 -&gt; S1 (T70)</w:t>
            </w:r>
          </w:p>
        </w:tc>
        <w:tc>
          <w:tcPr>
            <w:tcW w:type="dxa" w:w="2340"/>
          </w:tcPr>
          <w:p>
            <w:r>
              <w:t>91,58%</w:t>
            </w:r>
          </w:p>
        </w:tc>
        <w:tc>
          <w:tcPr>
            <w:tcW w:type="dxa" w:w="2340"/>
          </w:tcPr>
          <w:p>
            <w:r>
              <w:t>0,00% (Língua/Cifra)</w:t>
            </w:r>
          </w:p>
        </w:tc>
        <w:tc>
          <w:tcPr>
            <w:tcW w:type="dxa" w:w="2340"/>
          </w:tcPr>
          <w:p>
            <w:r>
              <w:t>Aprovado (Mecânico)</w:t>
            </w:r>
          </w:p>
        </w:tc>
      </w:tr>
      <w:tr>
        <w:tc>
          <w:tcPr>
            <w:tcW w:type="dxa" w:w="2340"/>
          </w:tcPr>
          <w:p>
            <w:r>
              <w:t>Estabilidade LOQ (T72)</w:t>
            </w:r>
          </w:p>
        </w:tc>
        <w:tc>
          <w:tcPr>
            <w:tcW w:type="dxa" w:w="2340"/>
          </w:tcPr>
          <w:p>
            <w:r>
              <w:t>92,07% (Média 20 Quires)</w:t>
            </w:r>
          </w:p>
        </w:tc>
        <w:tc>
          <w:tcPr>
            <w:tcW w:type="dxa" w:w="2340"/>
          </w:tcPr>
          <w:p>
            <w:r>
              <w:t>Alta Variabilidade</w:t>
            </w:r>
          </w:p>
        </w:tc>
        <w:tc>
          <w:tcPr>
            <w:tcW w:type="dxa" w:w="2340"/>
          </w:tcPr>
          <w:p>
            <w:r>
              <w:t>Aprovado (Invariante)</w:t>
            </w:r>
          </w:p>
        </w:tc>
      </w:tr>
      <w:tr>
        <w:tc>
          <w:tcPr>
            <w:tcW w:type="dxa" w:w="2340"/>
          </w:tcPr>
          <w:p>
            <w:r>
              <w:t>Resiliência SVD (T73)</w:t>
            </w:r>
          </w:p>
        </w:tc>
        <w:tc>
          <w:tcPr>
            <w:tcW w:type="dxa" w:w="2340"/>
          </w:tcPr>
          <w:p>
            <w:r>
              <w:t>Rank SVD &lt; 11</w:t>
            </w:r>
          </w:p>
        </w:tc>
        <w:tc>
          <w:tcPr>
            <w:tcW w:type="dxa" w:w="2340"/>
          </w:tcPr>
          <w:p>
            <w:r>
              <w:t>Explosão de Posto</w:t>
            </w:r>
          </w:p>
        </w:tc>
        <w:tc>
          <w:tcPr>
            <w:tcW w:type="dxa" w:w="2340"/>
          </w:tcPr>
          <w:p>
            <w:r>
              <w:t>Aprovado (Estável)</w:t>
            </w:r>
          </w:p>
        </w:tc>
      </w:tr>
      <w:tr>
        <w:tc>
          <w:tcPr>
            <w:tcW w:type="dxa" w:w="2340"/>
          </w:tcPr>
          <w:p>
            <w:r>
              <w:t>Economia MDL (Portão G4)</w:t>
            </w:r>
          </w:p>
        </w:tc>
        <w:tc>
          <w:tcPr>
            <w:tcW w:type="dxa" w:w="2340"/>
          </w:tcPr>
          <w:p>
            <w:r>
              <w:t>99.304,5 bits (34,85%)</w:t>
            </w:r>
          </w:p>
        </w:tc>
        <w:tc>
          <w:tcPr>
            <w:tcW w:type="dxa" w:w="2340"/>
          </w:tcPr>
          <w:p>
            <w:r>
              <w:t>284.989,0 bits</w:t>
            </w:r>
          </w:p>
        </w:tc>
        <w:tc>
          <w:tcPr>
            <w:tcW w:type="dxa" w:w="2340"/>
          </w:tcPr>
          <w:p>
            <w:r>
              <w:t>Aprovado (Parsimônio)</w:t>
            </w:r>
          </w:p>
        </w:tc>
      </w:tr>
    </w:tbl>
    <w:p>
      <w:pPr>
        <w:pStyle w:val="Heading1"/>
      </w:pPr>
      <w:r>
        <w:t>3. Governança e a Regra de Ouro (Portão G6)</w:t>
      </w:r>
    </w:p>
    <w:p>
      <w:r>
        <w:t>Em conformidade estrita com o Portão Semântico G6, esta pesquisa restringe-se à demonstração da arquitetura gerativa e da sintaxe de estados do autômato físico, rejeitando categoricamente qualquer alegação infundada de tradução lexical.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