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Pheonix stack-one write-up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 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This level is the same as the previous level but here we  will overflow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locals.changeme with this address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0x496c5962 so we will approach this problem the same as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stack-zero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here’s a picture of the source code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723900</wp:posOffset>
            </wp:positionV>
            <wp:extent cx="5734050" cy="365760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here they introduce the concept of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endianness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of the architecture the reader should at least the difference between little endian and big endian.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695325</wp:posOffset>
            </wp:positionV>
            <wp:extent cx="5734050" cy="21082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approached this the same as before so first i calculated the address of the start of the buffer starts at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1304925</wp:posOffset>
            </wp:positionH>
            <wp:positionV relativeFrom="paragraph">
              <wp:posOffset>2676525</wp:posOffset>
            </wp:positionV>
            <wp:extent cx="4514850" cy="31432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 the address of locals.changeme starts at $rbp-0x10 which is 0x7fffffffe600 we already discussed how to get these address in the previous write-up, here’s the final solution 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4050" cy="55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I hope you enjoyed my write-up any comment or suggest is appreciated you can contact me via my e-mail address: omaroobaniessa@gmail.com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3esawe/Phoenix/blob/master/pheonix_stack-zero.docx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en.wikipedia.org/wiki/Endian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