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WEFT: A Layer-Role Grammar for Continuous Woven-Lattice Toolpaths in Extrusion 3D Printing</w:t>
      </w:r>
    </w:p>
    <w:p>
      <w:pPr>
        <w:spacing w:after="40"/>
        <w:jc w:val="center"/>
      </w:pPr>
      <w:r>
        <w:rPr>
          <w:rFonts w:ascii="Calibri" w:cs="Calibri" w:eastAsia="Calibri" w:hAnsi="Calibri"/>
          <w:sz w:val="22"/>
          <w:szCs w:val="22"/>
        </w:rPr>
        <w:t xml:space="preserve">Semir Poturak</w:t>
      </w:r>
    </w:p>
    <w:p>
      <w:pPr>
        <w:spacing w:after="40"/>
        <w:jc w:val="center"/>
      </w:pPr>
      <w:r>
        <w:rPr>
          <w:rFonts w:ascii="Calibri" w:cs="Calibri" w:eastAsia="Calibri" w:hAnsi="Calibri"/>
          <w:color w:val="555555"/>
          <w:sz w:val="20"/>
          <w:szCs w:val="20"/>
        </w:rPr>
        <w:t xml:space="preserve">[Affiliation — to complete]  ·  poturaksemir@gmail.com</w:t>
      </w:r>
    </w:p>
    <w:p>
      <w:pPr>
        <w:spacing w:after="260"/>
        <w:jc w:val="center"/>
      </w:pPr>
      <w:r>
        <w:rPr>
          <w:rFonts w:ascii="Calibri" w:cs="Calibri" w:eastAsia="Calibri" w:hAnsi="Calibri"/>
          <w:i/>
          <w:iCs/>
          <w:color w:val="888888"/>
          <w:sz w:val="19"/>
          <w:szCs w:val="19"/>
        </w:rPr>
        <w:t xml:space="preserve">Working draft — August 2026. Software contribution complete; physical experiments in progress.</w:t>
      </w:r>
    </w:p>
    <w:p>
      <w:pPr>
        <w:pStyle w:val="Heading1"/>
        <w:spacing w:after="140" w:before="280"/>
      </w:pPr>
      <w:r>
        <w:rPr>
          <w:rFonts w:ascii="Calibri" w:cs="Calibri" w:eastAsia="Calibri" w:hAnsi="Calibri"/>
          <w:b/>
          <w:bCs/>
          <w:sz w:val="28"/>
          <w:szCs w:val="28"/>
        </w:rPr>
        <w:t xml:space="preserve">Abstract</w:t>
      </w:r>
    </w:p>
    <w:p>
      <w:pPr>
        <w:spacing w:after="160" w:line="300"/>
        <w:jc w:val="both"/>
      </w:pPr>
      <w:r>
        <w:rPr>
          <w:rFonts w:ascii="Calibri" w:cs="Calibri" w:eastAsia="Calibri" w:hAnsi="Calibri"/>
          <w:sz w:val="22"/>
          <w:szCs w:val="22"/>
        </w:rPr>
        <w:t xml:space="preserve">We present a method for extrusion 3D printing in which a wall is fabricated as a woven lattice rather than a solid: the mesh midsurface is offset into two flange lines, and each layer is printed as a single continuous thread whose role alternates by a small grammar — longitudinal chords on one layer, a crossing web on the next — so that structural capacity arises from discrete weld nodes where a fresh thread crosses the cooled thread below, rather than from continuous interlayer area contact. All pattern synthesis occurs in a two-dimensional parameter space (arc length × lateral offset) and is phase-locked so that weld nodes stack into vertical columns; on surfaces of revolution the lock is angular, so columns remain radial as the slice radius changes. We contribute (i) the layer-role grammar with five web types, including a prolate-cycloid loop stitch whose deliberate self-crossings hook mechanically around the chord below; (ii) a weld-centric control set — symmetric overhang extension, dwell landings, per-node flow modulation, and crossing-accurate node placement; (iii) density control by dyadic level-of-detail decimation (the knitting-decrease principle, which preserves column registration through every density transition) and an optional lean-graded density policy that spends nodes where overhang demands them; and (iv) a dual fabrication interface — a thin-wall STL route through the Arachne engine of a commercial slicer, and a native G-code route with machine-harvested start blocks. The system is implemented as a single-file browser application. We report software-level verification of the geometric invariants and define the physical experimental program, on a Bambu Lab A2L, that the method is designed to answer. The intended end domain is continuous-toolpath concrete printing, for which the required whole-object single-thread continuity is already achieved.</w:t>
      </w:r>
    </w:p>
    <w:p>
      <w:pPr>
        <w:pStyle w:val="Heading1"/>
        <w:spacing w:after="140" w:before="280"/>
      </w:pPr>
      <w:r>
        <w:rPr>
          <w:rFonts w:ascii="Calibri" w:cs="Calibri" w:eastAsia="Calibri" w:hAnsi="Calibri"/>
          <w:b/>
          <w:bCs/>
          <w:sz w:val="28"/>
          <w:szCs w:val="28"/>
        </w:rPr>
        <w:t xml:space="preserve">1  Introduction</w:t>
      </w:r>
    </w:p>
    <w:p>
      <w:pPr>
        <w:spacing w:after="160" w:line="300"/>
        <w:jc w:val="both"/>
      </w:pPr>
      <w:r>
        <w:rPr>
          <w:rFonts w:ascii="Calibri" w:cs="Calibri" w:eastAsia="Calibri" w:hAnsi="Calibri"/>
          <w:sz w:val="22"/>
          <w:szCs w:val="22"/>
        </w:rPr>
        <w:t xml:space="preserve">Fused-filament fabrication is anisotropic by construction: strength across layers depends on interlayer bonding over the contact area between successive beads, which is also the mechanism most degraded by cooling. Most toolpath research accepts this framing and optimizes within it. This work instead reframes the wall as a truss-like weave: material is placed as a sparse lattice of threads, and the structural question moves from how much area bonds between layers to how strong the discrete crossing welds are, how they are placed, and how load paths thread through them.</w:t>
      </w:r>
    </w:p>
    <w:p>
      <w:pPr>
        <w:spacing w:after="160" w:line="300"/>
        <w:jc w:val="both"/>
      </w:pPr>
      <w:r>
        <w:rPr>
          <w:rFonts w:ascii="Calibri" w:cs="Calibri" w:eastAsia="Calibri" w:hAnsi="Calibri"/>
          <w:sz w:val="22"/>
          <w:szCs w:val="22"/>
        </w:rPr>
        <w:t xml:space="preserve">Three commitments define the method. First, continuity: each layer is one unbroken extrusion, and consecutive layers are chained so that the entire object prints as a single thread without travel moves — a property that is convenient in polymer and mandatory in concrete, where retraction does not exist. Second, registration: weld nodes are phase-locked into vertical columns so that loads have continuous paths, and every density change respects the column structure. Third, the weld as a first-class design object: crossing geometry, contact length, local flow, and deliberate mechanical interlock are all explicit parameters rather than accidents of slicing.</w:t>
      </w:r>
    </w:p>
    <w:p>
      <w:pPr>
        <w:spacing w:after="160" w:line="300"/>
        <w:jc w:val="both"/>
      </w:pPr>
      <w:r>
        <w:rPr>
          <w:rFonts w:ascii="Calibri" w:cs="Calibri" w:eastAsia="Calibri" w:hAnsi="Calibri"/>
          <w:sz w:val="22"/>
          <w:szCs w:val="22"/>
        </w:rPr>
        <w:t xml:space="preserve">This draft reports the completed software system and its verified geometric properties, and specifies the physical experiments the system exists to run. We deliberately separate the two: no mechanical performance claims are made ahead of the prints.</w:t>
      </w:r>
    </w:p>
    <w:p>
      <w:pPr>
        <w:spacing w:after="200" w:before="80"/>
        <w:jc w:val="center"/>
      </w:pPr>
      <w:r>
        <w:rPr>
          <w:rFonts w:ascii="Calibri" w:cs="Calibri" w:eastAsia="Calibri" w:hAnsi="Calibri"/>
          <w:i/>
          <w:iCs/>
          <w:color w:val="555555"/>
          <w:sz w:val="20"/>
          <w:szCs w:val="20"/>
        </w:rPr>
        <w:t xml:space="preserve">[Figure 1 near here: the layer-role concept — chords, web, bridge cycle; weld columns highlighted.]</w:t>
      </w:r>
    </w:p>
    <w:p>
      <w:pPr>
        <w:pStyle w:val="Heading1"/>
        <w:spacing w:after="140" w:before="280"/>
      </w:pPr>
      <w:r>
        <w:rPr>
          <w:rFonts w:ascii="Calibri" w:cs="Calibri" w:eastAsia="Calibri" w:hAnsi="Calibri"/>
          <w:b/>
          <w:bCs/>
          <w:sz w:val="28"/>
          <w:szCs w:val="28"/>
        </w:rPr>
        <w:t xml:space="preserve">2  Related work</w:t>
      </w:r>
    </w:p>
    <w:p>
      <w:pPr>
        <w:spacing w:after="160" w:line="300"/>
        <w:jc w:val="both"/>
      </w:pPr>
      <w:r>
        <w:rPr>
          <w:rFonts w:ascii="Calibri" w:cs="Calibri" w:eastAsia="Calibri" w:hAnsi="Calibri"/>
          <w:sz w:val="22"/>
          <w:szCs w:val="22"/>
        </w:rPr>
        <w:t xml:space="preserve">Structure from intersecting extruded wires was demonstrated at architectural scale by Mesh Mould, where a robotically extruded polymer lattice serves as combined formwork and reinforcement [1]. Branch Technology’s cellular fabrication prints free-standing spatial lattices that are subsequently coated [2]. Our method differs from both in remaining strictly planar-layered on standard printer kinematics, with structure arising from a per-layer role grammar and phase-locked inter-layer welds rather than spatial extrusion.</w:t>
      </w:r>
    </w:p>
    <w:p>
      <w:pPr>
        <w:spacing w:after="160" w:line="300"/>
        <w:jc w:val="both"/>
      </w:pPr>
      <w:r>
        <w:rPr>
          <w:rFonts w:ascii="Calibri" w:cs="Calibri" w:eastAsia="Calibri" w:hAnsi="Calibri"/>
          <w:sz w:val="22"/>
          <w:szCs w:val="22"/>
        </w:rPr>
        <w:t xml:space="preserve">Continuous toolpath planning has been studied for solid infill: connected Fermat spirals produce a single continuous space-filling path per layer [3], and CrossFill generates continuous space-filling foam structures with graded density [4]. These target area fill; our grammar targets a sparse structural weave with named layer roles. Direct toolpath authorship outside the slicer is exemplified by FullControl GCode Designer [5], whose harvested-header transport strategy we adopt for the native G-code route. The thin-wall STL route relies on the Arachne variable-width contouring framework [6], which commercial slicers (Bambu Studio, PrusaSlicer) use to recover deliberately thin geometry as single continuous beads; a pilot by the author confirmed this recovery empirically on Bambu Studio prior to this work. Curved (sinusoidal) bead deposition is an active topic in concrete printing because lateral curvature braces the fresh bead against buckling [7]; our sine and loop-stitch web types inherit this rationale. The density-transition machinery is a direct borrowing from knitting decreases, and the hypothesis that graded lattices fail preferentially at level transitions has parallels in the graded-metamaterial literature [8].</w:t>
      </w:r>
    </w:p>
    <w:p>
      <w:pPr>
        <w:pStyle w:val="Heading1"/>
        <w:spacing w:after="140" w:before="280"/>
      </w:pPr>
      <w:r>
        <w:rPr>
          <w:rFonts w:ascii="Calibri" w:cs="Calibri" w:eastAsia="Calibri" w:hAnsi="Calibri"/>
          <w:b/>
          <w:bCs/>
          <w:sz w:val="28"/>
          <w:szCs w:val="28"/>
        </w:rPr>
        <w:t xml:space="preserve">3  Method</w:t>
      </w:r>
    </w:p>
    <w:p>
      <w:pPr>
        <w:pStyle w:val="Heading2"/>
        <w:spacing w:after="120" w:before="220"/>
      </w:pPr>
      <w:r>
        <w:rPr>
          <w:rFonts w:ascii="Calibri" w:cs="Calibri" w:eastAsia="Calibri" w:hAnsi="Calibri"/>
          <w:b/>
          <w:bCs/>
          <w:sz w:val="24"/>
          <w:szCs w:val="24"/>
        </w:rPr>
        <w:t xml:space="preserve">3.1  Representation and parameter-space synthesis</w:t>
      </w:r>
    </w:p>
    <w:p>
      <w:pPr>
        <w:spacing w:after="160" w:line="300"/>
        <w:jc w:val="both"/>
      </w:pPr>
      <w:r>
        <w:rPr>
          <w:rFonts w:ascii="Calibri" w:cs="Calibri" w:eastAsia="Calibri" w:hAnsi="Calibri"/>
          <w:sz w:val="22"/>
          <w:szCs w:val="22"/>
        </w:rPr>
        <w:t xml:space="preserve">A wall is defined by its midsurface. Per layer, the slice of the midsurface is a plane curve — the centerline — parameterized by arc length u, with an in-plane normal field. Every pattern is synthesized as a curve in the (u, lateral) parameter rectangle and then mapped to the plane by offsetting along the normal; the two chord lines live at lateral = ±w/2. Supported centerline generators are: a user-edited plan polyline (vertical walls), a partial surface of revolution r(z) = √(R²−z²) over a sweep angle (domes), and per-layer plane sections of an imported open triangle mesh, chained from edge–plane intersections. Because synthesis is strictly two-dimensional, all grammar logic — phase, spacing, jitter, grading — is independent of the embedding geometry.</w:t>
      </w:r>
    </w:p>
    <w:p>
      <w:pPr>
        <w:pStyle w:val="Heading2"/>
        <w:spacing w:after="120" w:before="220"/>
      </w:pPr>
      <w:r>
        <w:rPr>
          <w:rFonts w:ascii="Calibri" w:cs="Calibri" w:eastAsia="Calibri" w:hAnsi="Calibri"/>
          <w:b/>
          <w:bCs/>
          <w:sz w:val="24"/>
          <w:szCs w:val="24"/>
        </w:rPr>
        <w:t xml:space="preserve">3.2  Layer-role grammar and whole-object continuity</w:t>
      </w:r>
    </w:p>
    <w:p>
      <w:pPr>
        <w:spacing w:after="160" w:line="300"/>
        <w:jc w:val="both"/>
      </w:pPr>
      <w:r>
        <w:rPr>
          <w:rFonts w:ascii="Calibri" w:cs="Calibri" w:eastAsia="Calibri" w:hAnsi="Calibri"/>
          <w:sz w:val="22"/>
          <w:szCs w:val="22"/>
        </w:rPr>
        <w:t xml:space="preserve">Layers take roles from a small user-editable cycle, by default [chord, web]. A chord layer prints both flange lines as one closed ring: out along one flange, a connector at the far end, back along the other, and a closing connector at the near end. A web layer prints a single open crossing pattern. Ring closure is what makes whole-object continuity possible: the G-code emitter rotates each chord ring to begin wherever the nozzle currently is, and orients each open web from its nearer end, so the entire object is one thread with no travel moves — the property required for concrete.</w:t>
      </w:r>
    </w:p>
    <w:p>
      <w:pPr>
        <w:pStyle w:val="Heading2"/>
        <w:spacing w:after="120" w:before="220"/>
      </w:pPr>
      <w:r>
        <w:rPr>
          <w:rFonts w:ascii="Calibri" w:cs="Calibri" w:eastAsia="Calibri" w:hAnsi="Calibri"/>
          <w:b/>
          <w:bCs/>
          <w:sz w:val="24"/>
          <w:szCs w:val="24"/>
        </w:rPr>
        <w:t xml:space="preserve">3.3  Phase-locked registration</w:t>
      </w:r>
    </w:p>
    <w:p>
      <w:pPr>
        <w:spacing w:after="160" w:line="300"/>
        <w:jc w:val="both"/>
      </w:pPr>
      <w:r>
        <w:rPr>
          <w:rFonts w:ascii="Calibri" w:cs="Calibri" w:eastAsia="Calibri" w:hAnsi="Calibri"/>
          <w:sz w:val="22"/>
          <w:szCs w:val="22"/>
        </w:rPr>
        <w:t xml:space="preserve">On walls, node positions are metric: u = j·λ/2. On revolutes they are angular, fixed at multiples of λ/(2R) regardless of the slice radius, so weld columns remain exactly radial as r shrinks; we verified numerically that apex angles agree across layers to machine precision. A consequence is natural densification toward the apex, which Section 3.6 turns from an accident into a controlled policy. The width-modulation wave (Section 3.5) uses integer frequency multiples of the node phase, so its zeros coincide with node positions and registration survives modulation exactly.</w:t>
      </w:r>
    </w:p>
    <w:p>
      <w:pPr>
        <w:pStyle w:val="Heading2"/>
        <w:spacing w:after="120" w:before="220"/>
      </w:pPr>
      <w:r>
        <w:rPr>
          <w:rFonts w:ascii="Calibri" w:cs="Calibri" w:eastAsia="Calibri" w:hAnsi="Calibri"/>
          <w:b/>
          <w:bCs/>
          <w:sz w:val="24"/>
          <w:szCs w:val="24"/>
        </w:rPr>
        <w:t xml:space="preserve">3.4  Web grammars</w:t>
      </w:r>
    </w:p>
    <w:p>
      <w:pPr>
        <w:spacing w:after="160" w:line="300"/>
        <w:jc w:val="both"/>
      </w:pPr>
      <w:r>
        <w:rPr>
          <w:rFonts w:ascii="Calibri" w:cs="Calibri" w:eastAsia="Calibri" w:hAnsi="Calibri"/>
          <w:sz w:val="22"/>
          <w:szCs w:val="22"/>
        </w:rPr>
        <w:t xml:space="preserve">Five web types are implemented, chosen to span distinct structural mechanisms. Diagonal is a truss: members carry axial load, and shear stiffness does not require moment-capable joints. Perp is a square wave whose longitudinal runs sit beyond the chords by the overhang extension e and whose single vertical rungs cross both chords; it is a Vierendeel frame — shear must pass through joint bending — and therefore the harshest test of weld rigidity, at the cost of its offset runs being unsupported bridges of λ/2. Staple keeps the longitudinal runs exactly on the chords (fully supported, stacking on the rails below) and executes each crossing as a staple: out-tab, laterally offset hairpin, a single weld leg crossing both chords, hairpin, in-tab. The hairpin offset (≥1.15×bead) places the parallel legs side by side at single height rather than stacked, adding weld mass without a height bump the next layer would strike. Sine is a smooth wave at amplitude Af+e, inheriting the fresh-bead bracing rationale from concrete practice. Eight is a loop stitch: the wave is a prolate cycloid, u = c(φ−κ·sinφ), lat = −(Af+e)·cosφ with κ=1.8, whose forward progress reverses near alternating apexes so the thread loops back across itself and around the chord below — thermal welding plus mechanical interlock, the knit stitch. We note for the record that the seemingly equivalent parameterization lat = sinφ is provably injective and cannot self-cross; the distinction was caught by automated tests during development.</w:t>
      </w:r>
    </w:p>
    <w:p>
      <w:pPr>
        <w:spacing w:after="200" w:before="80"/>
        <w:jc w:val="center"/>
      </w:pPr>
      <w:r>
        <w:rPr>
          <w:rFonts w:ascii="Calibri" w:cs="Calibri" w:eastAsia="Calibri" w:hAnsi="Calibri"/>
          <w:i/>
          <w:iCs/>
          <w:color w:val="555555"/>
          <w:sz w:val="20"/>
          <w:szCs w:val="20"/>
        </w:rPr>
        <w:t xml:space="preserve">[Figure 2 near here: the five web types in parameter space, weld nodes marked.]</w:t>
      </w:r>
    </w:p>
    <w:p>
      <w:pPr>
        <w:pStyle w:val="Heading2"/>
        <w:spacing w:after="120" w:before="220"/>
      </w:pPr>
      <w:r>
        <w:rPr>
          <w:rFonts w:ascii="Calibri" w:cs="Calibri" w:eastAsia="Calibri" w:hAnsi="Calibri"/>
          <w:b/>
          <w:bCs/>
          <w:sz w:val="24"/>
          <w:szCs w:val="24"/>
        </w:rPr>
        <w:t xml:space="preserve">3.5  The weld node as a design object</w:t>
      </w:r>
    </w:p>
    <w:p>
      <w:pPr>
        <w:spacing w:after="160" w:line="300"/>
        <w:jc w:val="both"/>
      </w:pPr>
      <w:r>
        <w:rPr>
          <w:rFonts w:ascii="Calibri" w:cs="Calibri" w:eastAsia="Calibri" w:hAnsi="Calibri"/>
          <w:sz w:val="22"/>
          <w:szCs w:val="22"/>
        </w:rPr>
        <w:t xml:space="preserve">Node markers, flow modulation, and statistics all use the true crossing positions, not pattern apexes: a diagonal with overshoot crosses the chord at ±(λ/2)·e/(2(w/2+e)) from its apex; a sine crosses where |sinφ| = A/(A+e); the loop stitch’s crossings are detected numerically during generation. Overhang extension e pushes crossings symmetrically past both chords, converting tangential contact into crossing-with-squish; dwell inserts a flat landing at diagonal apexes so contact length is a printed feature rather than a point; seeded phase jitter de-registers columns to avoid vertical shear planes while remaining exactly reproducible (the seed is part of the specimen record); and on the G-code route each segment within a node radius receives a flow multiplier and a speed reduction. The wall’s true width, w+2e, is reported in the interface because the lattice is intentionally wider than nominal at web layers.</w:t>
      </w:r>
    </w:p>
    <w:p>
      <w:pPr>
        <w:pStyle w:val="Heading2"/>
        <w:spacing w:after="120" w:before="220"/>
      </w:pPr>
      <w:r>
        <w:rPr>
          <w:rFonts w:ascii="Calibri" w:cs="Calibri" w:eastAsia="Calibri" w:hAnsi="Calibri"/>
          <w:b/>
          <w:bCs/>
          <w:sz w:val="24"/>
          <w:szCs w:val="24"/>
        </w:rPr>
        <w:t xml:space="preserve">3.6  Density as a policy: dyadic LOD and lean grading</w:t>
      </w:r>
    </w:p>
    <w:p>
      <w:pPr>
        <w:spacing w:after="160" w:line="300"/>
        <w:jc w:val="both"/>
      </w:pPr>
      <w:r>
        <w:rPr>
          <w:rFonts w:ascii="Calibri" w:cs="Calibri" w:eastAsia="Calibri" w:hAnsi="Calibri"/>
          <w:sz w:val="22"/>
          <w:szCs w:val="22"/>
        </w:rPr>
        <w:t xml:space="preserve">When the physical node spacing of a slice falls below a floor (default 1.4 mm, ≈2.2 beads), spacing is doubled dyadically — the knitting decrease. Powers of two keep every surviving column exactly on the base angular grid, so registration is preserved through every density transition; columns that terminate at a decimation boundary leave a locally less-supported chord segment, a transition-band weakness we flag as a hypothesis for the physical program. Optionally, density becomes an explicit function of overhang: with grading enabled, target spacing follows a smoothstep in lean angle from λ below 30° to λs above ≈80°, quantized onto the same dyadic hierarchy (refinement to 4× permitted; new columns begin cleanly on the continuous chords). This replaces the radius-proportional accident with a stated policy: density is spent where overhang demands it and relaxed elsewhere.</w:t>
      </w:r>
    </w:p>
    <w:p>
      <w:pPr>
        <w:pStyle w:val="Heading2"/>
        <w:spacing w:after="120" w:before="220"/>
      </w:pPr>
      <w:r>
        <w:rPr>
          <w:rFonts w:ascii="Calibri" w:cs="Calibri" w:eastAsia="Calibri" w:hAnsi="Calibri"/>
          <w:b/>
          <w:bCs/>
          <w:sz w:val="24"/>
          <w:szCs w:val="24"/>
        </w:rPr>
        <w:t xml:space="preserve">3.7  Geometric robustness</w:t>
      </w:r>
    </w:p>
    <w:p>
      <w:pPr>
        <w:spacing w:after="160" w:line="300"/>
        <w:jc w:val="both"/>
      </w:pPr>
      <w:r>
        <w:rPr>
          <w:rFonts w:ascii="Calibri" w:cs="Calibri" w:eastAsia="Calibri" w:hAnsi="Calibri"/>
          <w:sz w:val="22"/>
          <w:szCs w:val="22"/>
        </w:rPr>
        <w:t xml:space="preserve">Bead solids are mitered ribbons: per-vertex offsets use the normalized bisector scaled by the clamped miter factor, so right-angle turns preserve bead width instead of self-intersecting, with a reversal fallback for degenerate tangents. Corners of the square-wave and staple grammars are rounded by quadratic-bezier fillets with angle-adaptive sampling (≤22.5° of turn per emitted segment), which behaves identically on dense curved runs and sparse rung vertices. Domes close by a spiral cap that takes over below a radius floor. Same-layer overlap detection (spatial hash, path-distance exclusion) flags unintended fusing and is suppressed for the loop stitch, whose self-crossings are intentional. All emitted polylines pass a deviation-bounded simplification (0.03 mm display / 0.02 mm motion), which reduced the reference full-dome model from ≈3.4 M to ≈0.7 M triangles.</w:t>
      </w:r>
    </w:p>
    <w:p>
      <w:pPr>
        <w:pStyle w:val="Heading2"/>
        <w:spacing w:after="120" w:before="220"/>
      </w:pPr>
      <w:r>
        <w:rPr>
          <w:rFonts w:ascii="Calibri" w:cs="Calibri" w:eastAsia="Calibri" w:hAnsi="Calibri"/>
          <w:b/>
          <w:bCs/>
          <w:sz w:val="24"/>
          <w:szCs w:val="24"/>
        </w:rPr>
        <w:t xml:space="preserve">3.8  Fabrication interface</w:t>
      </w:r>
    </w:p>
    <w:p>
      <w:pPr>
        <w:spacing w:after="160" w:line="300"/>
        <w:jc w:val="both"/>
      </w:pPr>
      <w:r>
        <w:rPr>
          <w:rFonts w:ascii="Calibri" w:cs="Calibri" w:eastAsia="Calibri" w:hAnsi="Calibri"/>
          <w:sz w:val="22"/>
          <w:szCs w:val="22"/>
        </w:rPr>
        <w:t xml:space="preserve">Route A exports the swept-bead solids as STL at the calibrated single-line width; a commercial slicer’s Arachne engine then recovers each layer as one continuous extrusion and contributes all machine-specific startup, making this the zero-risk validation path. Route B emits motion-only G-code — relative extrusion computed from bead cross-section, per-role speeds, bridge slowdown, and per-node flow boost — sandwiched between start and end blocks harvested from any file the user’s own slicer produces, following the FullControl transport strategy. Agreement between the two previews in the slicer constitutes an end-to-end check of the emitter. Both exports are chunked and asynchronous with progress reporting.</w:t>
      </w:r>
    </w:p>
    <w:p>
      <w:pPr>
        <w:pStyle w:val="Heading2"/>
        <w:spacing w:after="120" w:before="220"/>
      </w:pPr>
      <w:r>
        <w:rPr>
          <w:rFonts w:ascii="Calibri" w:cs="Calibri" w:eastAsia="Calibri" w:hAnsi="Calibri"/>
          <w:b/>
          <w:bCs/>
          <w:sz w:val="24"/>
          <w:szCs w:val="24"/>
        </w:rPr>
        <w:t xml:space="preserve">3.9  Implementation</w:t>
      </w:r>
    </w:p>
    <w:p>
      <w:pPr>
        <w:spacing w:after="160" w:line="300"/>
        <w:jc w:val="both"/>
      </w:pPr>
      <w:r>
        <w:rPr>
          <w:rFonts w:ascii="Calibri" w:cs="Calibri" w:eastAsia="Calibri" w:hAnsi="Calibri"/>
          <w:sz w:val="22"/>
          <w:szCs w:val="22"/>
        </w:rPr>
        <w:t xml:space="preserve">The system is a single-file browser application (Three.js, no build step, offline-capable with a vendored renderer), with per-layer meshes, a layer-slider and a compact per-layer role navigator, live statistics (spans vs. a bridge limit, minimum node gap, bed fit for the 330 mm target machine, estimated STL size and print time), an interactive plan editor (insert-on-line, drag, right-click delete), OBJ import, and a batch mode that tiles a two-parameter specimen sweep across the build plate so that all specimens share identical machine conditions.</w:t>
      </w:r>
    </w:p>
    <w:p>
      <w:pPr>
        <w:pStyle w:val="Heading1"/>
        <w:spacing w:after="140" w:before="280"/>
      </w:pPr>
      <w:r>
        <w:rPr>
          <w:rFonts w:ascii="Calibri" w:cs="Calibri" w:eastAsia="Calibri" w:hAnsi="Calibri"/>
          <w:b/>
          <w:bCs/>
          <w:sz w:val="28"/>
          <w:szCs w:val="28"/>
        </w:rPr>
        <w:t xml:space="preserve">4  Software verification</w:t>
      </w:r>
    </w:p>
    <w:p>
      <w:pPr>
        <w:spacing w:after="160" w:line="300"/>
        <w:jc w:val="both"/>
      </w:pPr>
      <w:r>
        <w:rPr>
          <w:rFonts w:ascii="Calibri" w:cs="Calibri" w:eastAsia="Calibri" w:hAnsi="Calibri"/>
          <w:sz w:val="22"/>
          <w:szCs w:val="22"/>
        </w:rPr>
        <w:t xml:space="preserve">The following invariants were verified by headless tests of the geometry engine (values from the reference configurations). Registration: apex angles across dome layers agree to &lt;10⁻⁹ rad; width-wave zeros deviate from node positions by &lt;10⁻¹⁴. Miter geometry: the 90° corner offset equals hw·√2 exactly, with edges parallel to both segments. Staple: overhang tabs reach ±(w/2+e) on both sides; hairpin leg separation 0.52 mm at bead 0.45 mm (side-by-side, single height); path continuity with maximum segment 0.7 mm; two nodes per rung on the chord lines. Loop stitch: four u-reversals and four genuine self-intersections per 40 mm at κ=1.8, with nineteen chord-crossing welds detected. Corner fillets: worst interior turn 35° on the hardest case (a ≈141° corner between a steep width-modulated run and a vertical rung). LOD: on the R = 71 mm full dome the spacing floor held at 1.43 mm with decimation bands m = 1/2/4/8 (369/19/5/1 layers) and all decimated columns on the base grid; notably, decimation reduced total node count by only ≈4%, demonstrating that the apex pathology is visually dominant but numerically minor — global density is a design choice, not a defect. Grading: across nine sampled lean bands, spacing tracked the target curve within the unavoidable √2 dyadic quantization, held ≈4 mm at gentle lean where the ungraded system had already drifted to 3.46 mm, and delivered ≈2.8 mm at 85° where the ungraded base grid had collapsed to an unprintable 0.35 mm. Simplification: a 340° chord ring reduced from 603 to 102 points with 0.031 mm maximum deviation. These are geometric guarantees; they say nothing yet about mechanics.</w:t>
      </w:r>
    </w:p>
    <w:p>
      <w:pPr>
        <w:pStyle w:val="Heading1"/>
        <w:spacing w:after="140" w:before="280"/>
      </w:pPr>
      <w:r>
        <w:rPr>
          <w:rFonts w:ascii="Calibri" w:cs="Calibri" w:eastAsia="Calibri" w:hAnsi="Calibri"/>
          <w:b/>
          <w:bCs/>
          <w:sz w:val="28"/>
          <w:szCs w:val="28"/>
        </w:rPr>
        <w:t xml:space="preserve">5  Planned experimental program</w:t>
      </w:r>
    </w:p>
    <w:p>
      <w:pPr>
        <w:spacing w:after="160" w:line="300"/>
        <w:jc w:val="both"/>
      </w:pPr>
      <w:r>
        <w:rPr>
          <w:rFonts w:ascii="Calibri" w:cs="Calibri" w:eastAsia="Calibri" w:hAnsi="Calibri"/>
          <w:sz w:val="22"/>
          <w:szCs w:val="22"/>
        </w:rPr>
        <w:t xml:space="preserve">All open questions are now empirical, and the program is designed so that early prints answer the questions that gate everything else. Experiment 1 (weld rigidity fork): a batch plate sweeping web type against overhang extension at fixed λ. If perpendicular (Vierendeel) specimens survive handling and feel torsionally comparable to diagonals, welds act as moment-capable joints; if only diagonals survive, welds are hinges and all subsequent design assumes truss action. Fracture surfaces distinguish cohesive failure (member snaps; welds strong, material-limited) from adhesive failure (member peels off the chord; welds govern, and e plus flow boost are the levers). Experiment 2 (route comparison): the same plate via Route A and Route B isolates the effect of node flow modulation. Experiment 3 (overhang vs. density): a three-quarter dome printed in lean-graded bands, photographed to locate the failure lean as a function of node density — testing the claim that overhang capability is a spatially varying function of pattern frequency rather than a global constant, and watching dyadic transition bands as suspected weak lines. All specimens enter a versioned knowledge base (settings vector including jitter seed, fixed-rig photographs, measured outcomes), which is also the substrate for a later human-in-the-loop calibration in which vision compares photographs to the rendered wire model and updates the calibrated constraints (bridge span, droop vs. e, weld strength) while the topology grammar remains deterministic.</w:t>
      </w:r>
    </w:p>
    <w:p>
      <w:pPr>
        <w:pStyle w:val="Heading1"/>
        <w:spacing w:after="140" w:before="280"/>
      </w:pPr>
      <w:r>
        <w:rPr>
          <w:rFonts w:ascii="Calibri" w:cs="Calibri" w:eastAsia="Calibri" w:hAnsi="Calibri"/>
          <w:b/>
          <w:bCs/>
          <w:sz w:val="28"/>
          <w:szCs w:val="28"/>
        </w:rPr>
        <w:t xml:space="preserve">6  Limitations</w:t>
      </w:r>
    </w:p>
    <w:p>
      <w:pPr>
        <w:spacing w:after="160" w:line="300"/>
        <w:jc w:val="both"/>
      </w:pPr>
      <w:r>
        <w:rPr>
          <w:rFonts w:ascii="Calibri" w:cs="Calibri" w:eastAsia="Calibri" w:hAnsi="Calibri"/>
          <w:sz w:val="22"/>
          <w:szCs w:val="22"/>
        </w:rPr>
        <w:t xml:space="preserve">No physical results are reported here; every mechanical statement above is a hypothesis with a designed test. Imported meshes are registered by arc length, so strongly tapered imports drift phase between layers; the fix is a coherent midsurface parameterization, deferred deliberately. Converging plan walls do not yet merge into a single bead (the dome cap is the special case that does). The lean-graded policy currently applies only where lean is analytic (domes). A frame solver with empirical joint stiffness is planned but intentionally sequenced after Experiment 1, which measures the very quantity it needs.</w:t>
      </w:r>
    </w:p>
    <w:p>
      <w:pPr>
        <w:pStyle w:val="Heading1"/>
        <w:spacing w:after="140" w:before="280"/>
      </w:pPr>
      <w:r>
        <w:rPr>
          <w:rFonts w:ascii="Calibri" w:cs="Calibri" w:eastAsia="Calibri" w:hAnsi="Calibri"/>
          <w:b/>
          <w:bCs/>
          <w:sz w:val="28"/>
          <w:szCs w:val="28"/>
        </w:rPr>
        <w:t xml:space="preserve">7  Toward concrete</w:t>
      </w:r>
    </w:p>
    <w:p>
      <w:pPr>
        <w:spacing w:after="160" w:line="300"/>
        <w:jc w:val="both"/>
      </w:pPr>
      <w:r>
        <w:rPr>
          <w:rFonts w:ascii="Calibri" w:cs="Calibri" w:eastAsia="Calibri" w:hAnsi="Calibri"/>
          <w:sz w:val="22"/>
          <w:szCs w:val="22"/>
        </w:rPr>
        <w:t xml:space="preserve">Fresh concrete cannot bridge, cannot retract, and gains from curvature-braced beads. The polymer system is therefore the research vehicle in which bridges, tabs and node mechanics are cheap to explore, while the concrete grammar is a constrained subset — near-zero web spans, sine or loop webs for bracing, corbel in place of bridge — derived from the same code. The property concrete makes mandatory, whole-object single-thread continuity, is already achieved and verified.</w:t>
      </w:r>
    </w:p>
    <w:p>
      <w:pPr>
        <w:pStyle w:val="Heading1"/>
        <w:spacing w:after="140" w:before="280"/>
      </w:pPr>
      <w:r>
        <w:rPr>
          <w:rFonts w:ascii="Calibri" w:cs="Calibri" w:eastAsia="Calibri" w:hAnsi="Calibri"/>
          <w:b/>
          <w:bCs/>
          <w:sz w:val="28"/>
          <w:szCs w:val="28"/>
        </w:rPr>
        <w:t xml:space="preserve">8  Conclusion</w:t>
      </w:r>
    </w:p>
    <w:p>
      <w:pPr>
        <w:spacing w:after="160" w:line="300"/>
        <w:jc w:val="both"/>
      </w:pPr>
      <w:r>
        <w:rPr>
          <w:rFonts w:ascii="Calibri" w:cs="Calibri" w:eastAsia="Calibri" w:hAnsi="Calibri"/>
          <w:sz w:val="22"/>
          <w:szCs w:val="22"/>
        </w:rPr>
        <w:t xml:space="preserve">WEFT makes the weld, not the layer, the unit of design in extrusion printing: a layer-role grammar synthesized in parameter space, phase-locked into columns, with density as an explicit dyadic policy and the crossing itself instrumented — geometrically verified end to end and packaged behind a two-route fabrication interface whose agreement is its own check. The system’s purpose is to make a specific set of physical questions cheap to ask; the next result this project produces will come off a build plate.</w:t>
      </w:r>
    </w:p>
    <w:p>
      <w:pPr>
        <w:pStyle w:val="Heading1"/>
        <w:spacing w:after="140" w:before="280"/>
      </w:pPr>
      <w:r>
        <w:rPr>
          <w:rFonts w:ascii="Calibri" w:cs="Calibri" w:eastAsia="Calibri" w:hAnsi="Calibri"/>
          <w:b/>
          <w:bCs/>
          <w:sz w:val="28"/>
          <w:szCs w:val="28"/>
        </w:rPr>
        <w:t xml:space="preserve">Table 1 — Parameter 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4900"/>
      </w:tblGrid>
      <w:tr>
        <w:tc>
          <w:tcPr>
            <w:tcW w:type="dxa" w:w="1900"/>
            <w:shd w:fill="EFEFEF" w:val="clear"/>
            <w:tcMar>
              <w:top w:type="dxa" w:w="60"/>
              <w:left w:type="dxa" w:w="100"/>
              <w:bottom w:type="dxa" w:w="60"/>
              <w:right w:type="dxa" w:w="100"/>
            </w:tcMar>
          </w:tcPr>
          <w:p>
            <w:pPr>
              <w:spacing w:after="0"/>
            </w:pPr>
            <w:r>
              <w:rPr>
                <w:rFonts w:ascii="Calibri" w:cs="Calibri" w:eastAsia="Calibri" w:hAnsi="Calibri"/>
                <w:b/>
                <w:bCs/>
                <w:sz w:val="19"/>
                <w:szCs w:val="19"/>
              </w:rPr>
              <w:t xml:space="preserve">Parameter</w:t>
            </w:r>
          </w:p>
        </w:tc>
        <w:tc>
          <w:tcPr>
            <w:tcW w:type="dxa" w:w="1700"/>
            <w:shd w:fill="EFEFEF" w:val="clear"/>
            <w:tcMar>
              <w:top w:type="dxa" w:w="60"/>
              <w:left w:type="dxa" w:w="100"/>
              <w:bottom w:type="dxa" w:w="60"/>
              <w:right w:type="dxa" w:w="100"/>
            </w:tcMar>
          </w:tcPr>
          <w:p>
            <w:pPr>
              <w:spacing w:after="0"/>
            </w:pPr>
            <w:r>
              <w:rPr>
                <w:rFonts w:ascii="Calibri" w:cs="Calibri" w:eastAsia="Calibri" w:hAnsi="Calibri"/>
                <w:b/>
                <w:bCs/>
                <w:sz w:val="19"/>
                <w:szCs w:val="19"/>
              </w:rPr>
              <w:t xml:space="preserve">Symbol / unit</w:t>
            </w:r>
          </w:p>
        </w:tc>
        <w:tc>
          <w:tcPr>
            <w:tcW w:type="dxa" w:w="1100"/>
            <w:shd w:fill="EFEFEF" w:val="clear"/>
            <w:tcMar>
              <w:top w:type="dxa" w:w="60"/>
              <w:left w:type="dxa" w:w="100"/>
              <w:bottom w:type="dxa" w:w="60"/>
              <w:right w:type="dxa" w:w="100"/>
            </w:tcMar>
          </w:tcPr>
          <w:p>
            <w:pPr>
              <w:spacing w:after="0"/>
            </w:pPr>
            <w:r>
              <w:rPr>
                <w:rFonts w:ascii="Calibri" w:cs="Calibri" w:eastAsia="Calibri" w:hAnsi="Calibri"/>
                <w:b/>
                <w:bCs/>
                <w:sz w:val="19"/>
                <w:szCs w:val="19"/>
              </w:rPr>
              <w:t xml:space="preserve">Default</w:t>
            </w:r>
          </w:p>
        </w:tc>
        <w:tc>
          <w:tcPr>
            <w:tcW w:type="dxa" w:w="4900"/>
            <w:shd w:fill="EFEFEF" w:val="clear"/>
            <w:tcMar>
              <w:top w:type="dxa" w:w="60"/>
              <w:left w:type="dxa" w:w="100"/>
              <w:bottom w:type="dxa" w:w="60"/>
              <w:right w:type="dxa" w:w="100"/>
            </w:tcMar>
          </w:tcPr>
          <w:p>
            <w:pPr>
              <w:spacing w:after="0"/>
            </w:pPr>
            <w:r>
              <w:rPr>
                <w:rFonts w:ascii="Calibri" w:cs="Calibri" w:eastAsia="Calibri" w:hAnsi="Calibri"/>
                <w:b/>
                <w:bCs/>
                <w:sz w:val="19"/>
                <w:szCs w:val="19"/>
              </w:rPr>
              <w:t xml:space="preserve">Role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Bead width</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0.45</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Physical thread width; set to the calibrated Arachne single-line width for the mounted nozzle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Layer height</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0.24</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Vertical slice pitch; lower values increase weld squish</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Wall span</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Chord-to-chord distance (lattice depth)</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Node spacing</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λ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Base wavelength of the web; sets weld-column pitch</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Overhang extension</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How far web crossings extend beyond the chord lines (both sides, symmetric)</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Apex dwell</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0.6</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Flat landing length at diagonal apexes (contact length at the weld)</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Phase jitter</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[0..1]</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Seeded random de-registration of node columns (anti-shear-plane)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Node flow boost</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1.25</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Local over-extrusion multiplier at crossings (G-code route only)</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Width wave</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amp (mm), freq (×λ)</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0 / 1</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Breathing modulation of wall span; integer frequency keeps zeros at node positions</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Min node gap</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1.4</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LOD floor on physical node spacing</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Steep spacing</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λs (mm)</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w:t>
            </w:r>
          </w:p>
        </w:tc>
        <w:tc>
          <w:tcPr>
            <w:tcW w:type="dxa" w:w="4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Target spacing at high lean when the graded density policy is enabled</w:t>
            </w:r>
          </w:p>
        </w:tc>
      </w:tr>
    </w:tbl>
    <w:p>
      <w:pPr>
        <w:spacing w:after="200"/>
      </w:pPr>
    </w:p>
    <w:p>
      <w:pPr>
        <w:pStyle w:val="Heading1"/>
        <w:spacing w:after="140" w:before="280"/>
      </w:pPr>
      <w:r>
        <w:rPr>
          <w:rFonts w:ascii="Calibri" w:cs="Calibri" w:eastAsia="Calibri" w:hAnsi="Calibri"/>
          <w:b/>
          <w:bCs/>
          <w:sz w:val="28"/>
          <w:szCs w:val="28"/>
        </w:rPr>
        <w:t xml:space="preserve">References</w:t>
      </w:r>
    </w:p>
    <w:p>
      <w:pPr>
        <w:pStyle w:val="ListParagraph"/>
        <w:numPr>
          <w:ilvl w:val="0"/>
          <w:numId w:val="2"/>
        </w:numPr>
        <w:spacing w:after="80"/>
      </w:pPr>
      <w:r>
        <w:rPr>
          <w:rFonts w:ascii="Calibri" w:cs="Calibri" w:eastAsia="Calibri" w:hAnsi="Calibri"/>
          <w:sz w:val="20"/>
          <w:szCs w:val="20"/>
        </w:rPr>
        <w:t xml:space="preserve">Mesh Mould project, Gramazio Kohler Research, ETH Zürich. [complete citation to verify]</w:t>
      </w:r>
    </w:p>
    <w:p>
      <w:pPr>
        <w:pStyle w:val="ListParagraph"/>
        <w:numPr>
          <w:ilvl w:val="0"/>
          <w:numId w:val="2"/>
        </w:numPr>
        <w:spacing w:after="80"/>
      </w:pPr>
      <w:r>
        <w:rPr>
          <w:rFonts w:ascii="Calibri" w:cs="Calibri" w:eastAsia="Calibri" w:hAnsi="Calibri"/>
          <w:sz w:val="20"/>
          <w:szCs w:val="20"/>
        </w:rPr>
        <w:t xml:space="preserve">Branch Technology, Cellular Fabrication (C-Fab). [complete citation to verify]</w:t>
      </w:r>
    </w:p>
    <w:p>
      <w:pPr>
        <w:pStyle w:val="ListParagraph"/>
        <w:numPr>
          <w:ilvl w:val="0"/>
          <w:numId w:val="2"/>
        </w:numPr>
        <w:spacing w:after="80"/>
      </w:pPr>
      <w:r>
        <w:rPr>
          <w:rFonts w:ascii="Calibri" w:cs="Calibri" w:eastAsia="Calibri" w:hAnsi="Calibri"/>
          <w:sz w:val="20"/>
          <w:szCs w:val="20"/>
        </w:rPr>
        <w:t xml:space="preserve">H. Zhao et al., “Connected Fermat Spirals for Layered Fabrication,” ACM SIGGRAPH 2016. [verify pages]</w:t>
      </w:r>
    </w:p>
    <w:p>
      <w:pPr>
        <w:pStyle w:val="ListParagraph"/>
        <w:numPr>
          <w:ilvl w:val="0"/>
          <w:numId w:val="2"/>
        </w:numPr>
        <w:spacing w:after="80"/>
      </w:pPr>
      <w:r>
        <w:rPr>
          <w:rFonts w:ascii="Calibri" w:cs="Calibri" w:eastAsia="Calibri" w:hAnsi="Calibri"/>
          <w:sz w:val="20"/>
          <w:szCs w:val="20"/>
        </w:rPr>
        <w:t xml:space="preserve">T. Kuipers et al., “CrossFill: Foam Structures with Graded Density for Continuous Material Extrusion,” SPM 2019. [verify]</w:t>
      </w:r>
    </w:p>
    <w:p>
      <w:pPr>
        <w:pStyle w:val="ListParagraph"/>
        <w:numPr>
          <w:ilvl w:val="0"/>
          <w:numId w:val="2"/>
        </w:numPr>
        <w:spacing w:after="80"/>
      </w:pPr>
      <w:r>
        <w:rPr>
          <w:rFonts w:ascii="Calibri" w:cs="Calibri" w:eastAsia="Calibri" w:hAnsi="Calibri"/>
          <w:sz w:val="20"/>
          <w:szCs w:val="20"/>
        </w:rPr>
        <w:t xml:space="preserve">A. Gleadall, “FullControl GCode Designer: Open-source software for unconstrained design in additive manufacturing,” Additive Manufacturing, 2021. [verify]</w:t>
      </w:r>
    </w:p>
    <w:p>
      <w:pPr>
        <w:pStyle w:val="ListParagraph"/>
        <w:numPr>
          <w:ilvl w:val="0"/>
          <w:numId w:val="2"/>
        </w:numPr>
        <w:spacing w:after="80"/>
      </w:pPr>
      <w:r>
        <w:rPr>
          <w:rFonts w:ascii="Calibri" w:cs="Calibri" w:eastAsia="Calibri" w:hAnsi="Calibri"/>
          <w:sz w:val="20"/>
          <w:szCs w:val="20"/>
        </w:rPr>
        <w:t xml:space="preserve">T. Kuipers et al., “A Framework for Adaptive Width Control of Dense Contour-Parallel Toolpaths in Fused Deposition Modeling” (Arachne), Computer-Aided Design, 2020/2022. [verify]</w:t>
      </w:r>
    </w:p>
    <w:p>
      <w:pPr>
        <w:pStyle w:val="ListParagraph"/>
        <w:numPr>
          <w:ilvl w:val="0"/>
          <w:numId w:val="2"/>
        </w:numPr>
        <w:spacing w:after="80"/>
      </w:pPr>
      <w:r>
        <w:rPr>
          <w:rFonts w:ascii="Calibri" w:cs="Calibri" w:eastAsia="Calibri" w:hAnsi="Calibri"/>
          <w:sz w:val="20"/>
          <w:szCs w:val="20"/>
        </w:rPr>
        <w:t xml:space="preserve">Sinusoidal/curved toolpath stability in 3D concrete printing — representative reference to select. [to complete]</w:t>
      </w:r>
    </w:p>
    <w:p>
      <w:pPr>
        <w:pStyle w:val="ListParagraph"/>
        <w:numPr>
          <w:ilvl w:val="0"/>
          <w:numId w:val="2"/>
        </w:numPr>
        <w:spacing w:after="80"/>
      </w:pPr>
      <w:r>
        <w:rPr>
          <w:rFonts w:ascii="Calibri" w:cs="Calibri" w:eastAsia="Calibri" w:hAnsi="Calibri"/>
          <w:sz w:val="20"/>
          <w:szCs w:val="20"/>
        </w:rPr>
        <w:t xml:space="preserve">Graded lattice metamaterials and transition-band behavior — representative reference to select. [to complete]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2026-08-05T19:44:13.154Z</dcterms:created>
  <dcterms:modified xsi:type="dcterms:W3CDTF">2026-08-05T19:44:13.181Z</dcterms:modified>
</cp:coreProperties>
</file>

<file path=docProps/custom.xml><?xml version="1.0" encoding="utf-8"?>
<Properties xmlns="http://schemas.openxmlformats.org/officeDocument/2006/custom-properties" xmlns:vt="http://schemas.openxmlformats.org/officeDocument/2006/docPropsVTypes"/>
</file>