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MSTitle"/>
      </w:pPr>
      <w:r>
        <w:t>Azure AI Foundry + RHDH MCP</w:t>
      </w:r>
    </w:p>
    <w:p>
      <w:pPr>
        <w:jc w:val="center"/>
      </w:pPr>
      <w:r>
        <w:rPr>
          <w:rFonts w:ascii="Segoe UI" w:hAnsi="Segoe UI"/>
          <w:color w:val="333333"/>
          <w:sz w:val="28"/>
        </w:rPr>
        <w:t>Architecture Guide — Claude Sonnet 4.5 as AI Backbone for Developer Hub</w:t>
      </w:r>
    </w:p>
    <w:p/>
    <w:p/>
    <w:p/>
    <w:p/>
    <w:p/>
    <w:p/>
    <w:p>
      <w:pPr>
        <w:jc w:val="center"/>
      </w:pPr>
      <w:r>
        <w:rPr>
          <w:rFonts w:ascii="Segoe UI" w:hAnsi="Segoe UI"/>
          <w:color w:val="333333"/>
          <w:sz w:val="22"/>
        </w:rPr>
        <w:t>Date: March 01, 2026</w:t>
      </w:r>
    </w:p>
    <w:p>
      <w:pPr>
        <w:jc w:val="center"/>
      </w:pPr>
      <w:r>
        <w:rPr>
          <w:rFonts w:ascii="Segoe UI" w:hAnsi="Segoe UI"/>
          <w:color w:val="333333"/>
          <w:sz w:val="22"/>
        </w:rPr>
        <w:t>Version: 1.0</w:t>
      </w:r>
    </w:p>
    <w:p>
      <w:pPr>
        <w:jc w:val="center"/>
      </w:pPr>
      <w:r>
        <w:rPr>
          <w:rFonts w:ascii="Segoe UI" w:hAnsi="Segoe UI"/>
          <w:color w:val="333333"/>
          <w:sz w:val="22"/>
        </w:rPr>
        <w:t>Client: Three Horizons Developer Hub</w:t>
      </w:r>
    </w:p>
    <w:p>
      <w:pPr>
        <w:jc w:val="center"/>
      </w:pPr>
      <w:r>
        <w:rPr>
          <w:rFonts w:ascii="Segoe UI" w:hAnsi="Segoe UI"/>
          <w:color w:val="333333"/>
          <w:sz w:val="22"/>
        </w:rPr>
        <w:t>Team: Latam Software GBB</w:t>
      </w:r>
    </w:p>
    <w:p>
      <w:pPr>
        <w:jc w:val="center"/>
      </w:pPr>
      <w:r>
        <w:rPr>
          <w:rFonts w:ascii="Segoe UI" w:hAnsi="Segoe UI"/>
          <w:color w:val="333333"/>
          <w:sz w:val="22"/>
        </w:rPr>
        <w:t>Author: paulasilva@microsoft.com</w:t>
      </w:r>
    </w:p>
    <w:p/>
    <w:p/>
    <w:p/>
    <w:p/>
    <w:p>
      <w:pPr>
        <w:jc w:val="center"/>
      </w:pPr>
      <w:r>
        <w:rPr>
          <w:rFonts w:ascii="Segoe UI" w:hAnsi="Segoe UI"/>
          <w:b/>
          <w:color w:val="D13438"/>
          <w:sz w:val="20"/>
        </w:rPr>
        <w:t>Microsoft Confidential</w:t>
      </w:r>
    </w:p>
    <w:p>
      <w:r>
        <w:br w:type="page"/>
      </w:r>
    </w:p>
    <w:p>
      <w:pPr>
        <w:pStyle w:val="Heading1"/>
      </w:pPr>
      <w:r>
        <w:t>Table of Contents</w:t>
      </w:r>
    </w:p>
    <w:p>
      <w:r>
        <w:fldChar w:fldCharType="begin"/>
        <w:instrText xml:space="preserve">TOC \o "1-3" \h \z \u</w:instrText>
        <w:fldChar w:fldCharType="separate"/>
        <w:fldChar w:fldCharType="end"/>
      </w:r>
    </w:p>
    <w:p>
      <w:pPr>
        <w:jc w:val="center"/>
      </w:pPr>
      <w:r>
        <w:rPr>
          <w:rFonts w:ascii="Segoe UI" w:hAnsi="Segoe UI"/>
          <w:i/>
          <w:color w:val="666666"/>
          <w:sz w:val="18"/>
        </w:rPr>
        <w:t>[Right-click and select 'Update Field' to refresh Table of Contents]</w:t>
      </w:r>
    </w:p>
    <w:p>
      <w:r>
        <w:br w:type="page"/>
      </w:r>
    </w:p>
    <w:p>
      <w:pPr>
        <w:pStyle w:val="Heading1"/>
      </w:pPr>
      <w:r>
        <w:t>Executive Summary</w:t>
      </w:r>
    </w:p>
    <w:p>
      <w:pPr/>
      <w:r>
        <w:t>This document describes the end-to-end architecture for integrating Azure AI Foundry Agent Service with Red Hat Developer Hub (RHDH) 1.8 via the Model Context Protocol (MCP). The solution uses Anthropic's Claude Sonnet 4.5 — deployed through the Azure AI Foundry model catalog — as the AI backbone that orchestrates developer queries against the Software Catalog and TechDocs systems.</w:t>
      </w:r>
    </w:p>
    <w:p>
      <w:pPr/>
      <w:r>
        <w:t>With this architecture, developers interact with a conversational AI agent through their preferred IDE (VS Code, Cursor, Continue) or directly via the Developer Hub. The agent uses Claude Sonnet 4.5 to understand intent, selects the appropriate MCP tools, and returns structured answers — from catalog entity lookups to documentation coverage analysis.</w:t>
      </w:r>
    </w:p>
    <w:p>
      <w:pPr>
        <w:pStyle w:val="Heading2"/>
      </w:pPr>
      <w:r>
        <w:t>Key Value Propositions</w:t>
      </w:r>
    </w:p>
    <w:p>
      <w:pPr>
        <w:pStyle w:val="ListBullet"/>
        <w:ind w:left="360"/>
      </w:pPr>
      <w:r>
        <w:t>Natural language queries against the entire Software Catalog (components, APIs, systems, users, groups)</w:t>
      </w:r>
    </w:p>
    <w:p>
      <w:pPr>
        <w:pStyle w:val="ListBullet"/>
        <w:ind w:left="360"/>
      </w:pPr>
      <w:r>
        <w:t>Automated TechDocs coverage analysis with per-component compliance reporting</w:t>
      </w:r>
    </w:p>
    <w:p>
      <w:pPr>
        <w:pStyle w:val="ListBullet"/>
        <w:ind w:left="360"/>
      </w:pPr>
      <w:r>
        <w:t>Full documentation retrieval and summarization powered by Claude Sonnet 4.5 reasoning</w:t>
      </w:r>
    </w:p>
    <w:p>
      <w:pPr>
        <w:pStyle w:val="ListBullet"/>
        <w:ind w:left="360"/>
      </w:pPr>
      <w:r>
        <w:t>IDE-native experience — developers never leave their editor to query the Developer Hub</w:t>
      </w:r>
    </w:p>
    <w:p>
      <w:pPr>
        <w:pStyle w:val="ListBullet"/>
        <w:ind w:left="360"/>
      </w:pPr>
      <w:r>
        <w:t>Enterprise-grade security with Azure Entra ID + RHDH static Bearer token authentication</w:t>
      </w:r>
    </w:p>
    <w:p>
      <w:pPr>
        <w:pStyle w:val="ListBullet"/>
        <w:ind w:left="360"/>
      </w:pPr>
      <w:r>
        <w:t>Model flexibility — swap Claude Sonnet for GPT-4o, Llama, or any Foundry catalog model</w:t>
      </w:r>
    </w:p>
    <w:p>
      <w:r>
        <w:br w:type="page"/>
      </w:r>
    </w:p>
    <w:p>
      <w:pPr>
        <w:pStyle w:val="Heading1"/>
      </w:pPr>
      <w:r>
        <w:t>Architecture Overview</w:t>
      </w:r>
    </w:p>
    <w:p>
      <w:pPr/>
      <w:r>
        <w:t>The architecture consists of five layers connected by the Model Context Protocol (MCP), an open standard that defines how AI applications provide tools and contextual data to LLMs.</w:t>
      </w:r>
    </w:p>
    <w:p>
      <w:pPr>
        <w:pStyle w:val="Heading2"/>
      </w:pPr>
      <w:r>
        <w:t>Layer 1 — Developer Clients</w:t>
      </w:r>
    </w:p>
    <w:p>
      <w:pPr/>
      <w:r>
        <w:t>Developers interact with the system through MCP-compatible clients. These include VS Code with GitHub Copilot Chat, Cursor IDE, Continue extension, and Developer Lightspeed for RHDH. Each client sends natural language queries that are routed to the Foundry Agent.</w:t>
      </w:r>
    </w:p>
    <w:p>
      <w:pPr>
        <w:pStyle w:val="Heading2"/>
      </w:pPr>
      <w:r>
        <w:t>Layer 2 — Azure AI Foundry Agent Service</w:t>
      </w:r>
    </w:p>
    <w:p>
      <w:pPr/>
      <w:r>
        <w:t>The Foundry Agent Service is a fully managed platform that hosts the AI agent. It orchestrates the conversation loop: receiving the developer's query, invoking Claude Sonnet 4.5 for reasoning, determining which MCP tools to call, executing the tool calls, and synthesizing the final response.</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Component</w:t>
            </w:r>
          </w:p>
        </w:tc>
        <w:tc>
          <w:tcPr>
            <w:tcW w:type="dxa" w:w="3010"/>
            <w:shd w:fill="0078D4"/>
          </w:tcPr>
          <w:p>
            <w:pPr>
              <w:jc w:val="center"/>
            </w:pPr>
            <w:r>
              <w:rPr>
                <w:rFonts w:ascii="Segoe UI" w:hAnsi="Segoe UI"/>
                <w:b/>
                <w:color w:val="FFFFFF"/>
                <w:sz w:val="20"/>
              </w:rPr>
              <w:t>Description</w:t>
            </w:r>
          </w:p>
        </w:tc>
        <w:tc>
          <w:tcPr>
            <w:tcW w:type="dxa" w:w="3010"/>
            <w:shd w:fill="0078D4"/>
          </w:tcPr>
          <w:p>
            <w:pPr>
              <w:jc w:val="center"/>
            </w:pPr>
            <w:r>
              <w:rPr>
                <w:rFonts w:ascii="Segoe UI" w:hAnsi="Segoe UI"/>
                <w:b/>
                <w:color w:val="FFFFFF"/>
                <w:sz w:val="20"/>
              </w:rPr>
              <w:t>Configuration</w:t>
            </w:r>
          </w:p>
        </w:tc>
      </w:tr>
      <w:tr>
        <w:tc>
          <w:tcPr>
            <w:tcW w:type="dxa" w:w="3010"/>
          </w:tcPr>
          <w:p>
            <w:r>
              <w:rPr>
                <w:rFonts w:ascii="Segoe UI" w:hAnsi="Segoe UI"/>
                <w:sz w:val="20"/>
              </w:rPr>
              <w:t>Foundry Agent</w:t>
            </w:r>
          </w:p>
        </w:tc>
        <w:tc>
          <w:tcPr>
            <w:tcW w:type="dxa" w:w="3010"/>
          </w:tcPr>
          <w:p>
            <w:r>
              <w:rPr>
                <w:rFonts w:ascii="Segoe UI" w:hAnsi="Segoe UI"/>
                <w:sz w:val="20"/>
              </w:rPr>
              <w:t>Managed agent instance</w:t>
            </w:r>
          </w:p>
        </w:tc>
        <w:tc>
          <w:tcPr>
            <w:tcW w:type="dxa" w:w="3010"/>
          </w:tcPr>
          <w:p>
            <w:r>
              <w:rPr>
                <w:rFonts w:ascii="Segoe UI" w:hAnsi="Segoe UI"/>
                <w:sz w:val="20"/>
              </w:rPr>
              <w:t>model='claude-sonnet-4-5-20250929'</w:t>
            </w:r>
          </w:p>
        </w:tc>
      </w:tr>
      <w:tr>
        <w:tc>
          <w:tcPr>
            <w:tcW w:type="dxa" w:w="3010"/>
          </w:tcPr>
          <w:p>
            <w:r>
              <w:rPr>
                <w:rFonts w:ascii="Segoe UI" w:hAnsi="Segoe UI"/>
                <w:sz w:val="20"/>
              </w:rPr>
              <w:t>Claude Sonnet 4.5</w:t>
            </w:r>
          </w:p>
        </w:tc>
        <w:tc>
          <w:tcPr>
            <w:tcW w:type="dxa" w:w="3010"/>
          </w:tcPr>
          <w:p>
            <w:r>
              <w:rPr>
                <w:rFonts w:ascii="Segoe UI" w:hAnsi="Segoe UI"/>
                <w:sz w:val="20"/>
              </w:rPr>
              <w:t>LLM for reasoning and tool selection</w:t>
            </w:r>
          </w:p>
        </w:tc>
        <w:tc>
          <w:tcPr>
            <w:tcW w:type="dxa" w:w="3010"/>
          </w:tcPr>
          <w:p>
            <w:r>
              <w:rPr>
                <w:rFonts w:ascii="Segoe UI" w:hAnsi="Segoe UI"/>
                <w:sz w:val="20"/>
              </w:rPr>
              <w:t>Via Foundry model catalog</w:t>
            </w:r>
          </w:p>
        </w:tc>
      </w:tr>
      <w:tr>
        <w:tc>
          <w:tcPr>
            <w:tcW w:type="dxa" w:w="3010"/>
          </w:tcPr>
          <w:p>
            <w:r>
              <w:rPr>
                <w:rFonts w:ascii="Segoe UI" w:hAnsi="Segoe UI"/>
                <w:sz w:val="20"/>
              </w:rPr>
              <w:t>Agent Orchestrator</w:t>
            </w:r>
          </w:p>
        </w:tc>
        <w:tc>
          <w:tcPr>
            <w:tcW w:type="dxa" w:w="3010"/>
          </w:tcPr>
          <w:p>
            <w:r>
              <w:rPr>
                <w:rFonts w:ascii="Segoe UI" w:hAnsi="Segoe UI"/>
                <w:sz w:val="20"/>
              </w:rPr>
              <w:t>Tool call routing and response synthesis</w:t>
            </w:r>
          </w:p>
        </w:tc>
        <w:tc>
          <w:tcPr>
            <w:tcW w:type="dxa" w:w="3010"/>
          </w:tcPr>
          <w:p>
            <w:r>
              <w:rPr>
                <w:rFonts w:ascii="Segoe UI" w:hAnsi="Segoe UI"/>
                <w:sz w:val="20"/>
              </w:rPr>
              <w:t>McpToolDefinition with server_url</w:t>
            </w:r>
          </w:p>
        </w:tc>
      </w:tr>
      <w:tr>
        <w:tc>
          <w:tcPr>
            <w:tcW w:type="dxa" w:w="3010"/>
          </w:tcPr>
          <w:p>
            <w:r>
              <w:rPr>
                <w:rFonts w:ascii="Segoe UI" w:hAnsi="Segoe UI"/>
                <w:sz w:val="20"/>
              </w:rPr>
              <w:t>Entra ID Auth</w:t>
            </w:r>
          </w:p>
        </w:tc>
        <w:tc>
          <w:tcPr>
            <w:tcW w:type="dxa" w:w="3010"/>
          </w:tcPr>
          <w:p>
            <w:r>
              <w:rPr>
                <w:rFonts w:ascii="Segoe UI" w:hAnsi="Segoe UI"/>
                <w:sz w:val="20"/>
              </w:rPr>
              <w:t>Azure identity for agent access</w:t>
            </w:r>
          </w:p>
        </w:tc>
        <w:tc>
          <w:tcPr>
            <w:tcW w:type="dxa" w:w="3010"/>
          </w:tcPr>
          <w:p>
            <w:r>
              <w:rPr>
                <w:rFonts w:ascii="Segoe UI" w:hAnsi="Segoe UI"/>
                <w:sz w:val="20"/>
              </w:rPr>
              <w:t>Managed identity or service principal</w:t>
            </w:r>
          </w:p>
        </w:tc>
      </w:tr>
    </w:tbl>
    <w:p/>
    <w:p>
      <w:pPr>
        <w:pStyle w:val="Heading2"/>
      </w:pPr>
      <w:r>
        <w:t>Layer 3 — MCP Transport</w:t>
      </w:r>
    </w:p>
    <w:p>
      <w:pPr/>
      <w:r>
        <w:t>The Foundry Agent connects to the RHDH MCP Server via two transport endpoints. The Streamable HTTP endpoint (/api/mcp-actions/v1) is preferred for new integrations, while the SSE endpoint (/api/mcp-actions/v1/sse) provides backward compatibility.</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Endpoint</w:t>
            </w:r>
          </w:p>
        </w:tc>
        <w:tc>
          <w:tcPr>
            <w:tcW w:type="dxa" w:w="3010"/>
            <w:shd w:fill="0078D4"/>
          </w:tcPr>
          <w:p>
            <w:pPr>
              <w:jc w:val="center"/>
            </w:pPr>
            <w:r>
              <w:rPr>
                <w:rFonts w:ascii="Segoe UI" w:hAnsi="Segoe UI"/>
                <w:b/>
                <w:color w:val="FFFFFF"/>
                <w:sz w:val="20"/>
              </w:rPr>
              <w:t>Protocol</w:t>
            </w:r>
          </w:p>
        </w:tc>
        <w:tc>
          <w:tcPr>
            <w:tcW w:type="dxa" w:w="3010"/>
            <w:shd w:fill="0078D4"/>
          </w:tcPr>
          <w:p>
            <w:pPr>
              <w:jc w:val="center"/>
            </w:pPr>
            <w:r>
              <w:rPr>
                <w:rFonts w:ascii="Segoe UI" w:hAnsi="Segoe UI"/>
                <w:b/>
                <w:color w:val="FFFFFF"/>
                <w:sz w:val="20"/>
              </w:rPr>
              <w:t>Use Case</w:t>
            </w:r>
          </w:p>
        </w:tc>
      </w:tr>
      <w:tr>
        <w:tc>
          <w:tcPr>
            <w:tcW w:type="dxa" w:w="3010"/>
          </w:tcPr>
          <w:p>
            <w:r>
              <w:rPr>
                <w:rFonts w:ascii="Segoe UI" w:hAnsi="Segoe UI"/>
                <w:sz w:val="20"/>
              </w:rPr>
              <w:t>/api/mcp-actions/v1</w:t>
            </w:r>
          </w:p>
        </w:tc>
        <w:tc>
          <w:tcPr>
            <w:tcW w:type="dxa" w:w="3010"/>
          </w:tcPr>
          <w:p>
            <w:r>
              <w:rPr>
                <w:rFonts w:ascii="Segoe UI" w:hAnsi="Segoe UI"/>
                <w:sz w:val="20"/>
              </w:rPr>
              <w:t>Streamable HTTP</w:t>
            </w:r>
          </w:p>
        </w:tc>
        <w:tc>
          <w:tcPr>
            <w:tcW w:type="dxa" w:w="3010"/>
          </w:tcPr>
          <w:p>
            <w:r>
              <w:rPr>
                <w:rFonts w:ascii="Segoe UI" w:hAnsi="Segoe UI"/>
                <w:sz w:val="20"/>
              </w:rPr>
              <w:t>Preferred — new Foundry Agent integrations</w:t>
            </w:r>
          </w:p>
        </w:tc>
      </w:tr>
      <w:tr>
        <w:tc>
          <w:tcPr>
            <w:tcW w:type="dxa" w:w="3010"/>
          </w:tcPr>
          <w:p>
            <w:r>
              <w:rPr>
                <w:rFonts w:ascii="Segoe UI" w:hAnsi="Segoe UI"/>
                <w:sz w:val="20"/>
              </w:rPr>
              <w:t>/api/mcp-actions/v1/sse</w:t>
            </w:r>
          </w:p>
        </w:tc>
        <w:tc>
          <w:tcPr>
            <w:tcW w:type="dxa" w:w="3010"/>
          </w:tcPr>
          <w:p>
            <w:r>
              <w:rPr>
                <w:rFonts w:ascii="Segoe UI" w:hAnsi="Segoe UI"/>
                <w:sz w:val="20"/>
              </w:rPr>
              <w:t>Server-Sent Events (SSE)</w:t>
            </w:r>
          </w:p>
        </w:tc>
        <w:tc>
          <w:tcPr>
            <w:tcW w:type="dxa" w:w="3010"/>
          </w:tcPr>
          <w:p>
            <w:r>
              <w:rPr>
                <w:rFonts w:ascii="Segoe UI" w:hAnsi="Segoe UI"/>
                <w:sz w:val="20"/>
              </w:rPr>
              <w:t>Legacy — Cursor, Continue clients</w:t>
            </w:r>
          </w:p>
        </w:tc>
      </w:tr>
    </w:tbl>
    <w:p/>
    <w:p>
      <w:pPr/>
      <w:r>
        <w:t>Authentication uses a static Bearer token configured via the RHDH externalAccess mechanism with subject 'mcp-clients'. The token is passed in the Authorization header on every request.</w:t>
      </w:r>
    </w:p>
    <w:p>
      <w:pPr>
        <w:pStyle w:val="Heading2"/>
      </w:pPr>
      <w:r>
        <w:t>Layer 4 — RHDH 1.8 MCP Server</w:t>
      </w:r>
    </w:p>
    <w:p>
      <w:pPr/>
      <w:r>
        <w:t>Three OCI plugin packages must be installed in RHDH 1.8 to enable the MCP server:</w:t>
      </w:r>
    </w:p>
    <w:tbl>
      <w:tblPr>
        <w:tblStyle w:val="TableGrid"/>
        <w:tblW w:type="auto" w:w="0"/>
        <w:jc w:val="center"/>
        <w:tblLook w:firstColumn="1" w:firstRow="1" w:lastColumn="0" w:lastRow="0" w:noHBand="0" w:noVBand="1" w:val="04A0"/>
      </w:tblPr>
      <w:tblGrid>
        <w:gridCol w:w="3010"/>
        <w:gridCol w:w="3010"/>
        <w:gridCol w:w="3010"/>
      </w:tblGrid>
      <w:tr>
        <w:tc>
          <w:tcPr>
            <w:tcW w:type="dxa" w:w="3010"/>
            <w:shd w:fill="0078D4"/>
          </w:tcPr>
          <w:p>
            <w:pPr>
              <w:jc w:val="center"/>
            </w:pPr>
            <w:r>
              <w:rPr>
                <w:rFonts w:ascii="Segoe UI" w:hAnsi="Segoe UI"/>
                <w:b/>
                <w:color w:val="FFFFFF"/>
                <w:sz w:val="20"/>
              </w:rPr>
              <w:t>Plugin</w:t>
            </w:r>
          </w:p>
        </w:tc>
        <w:tc>
          <w:tcPr>
            <w:tcW w:type="dxa" w:w="3010"/>
            <w:shd w:fill="0078D4"/>
          </w:tcPr>
          <w:p>
            <w:pPr>
              <w:jc w:val="center"/>
            </w:pPr>
            <w:r>
              <w:rPr>
                <w:rFonts w:ascii="Segoe UI" w:hAnsi="Segoe UI"/>
                <w:b/>
                <w:color w:val="FFFFFF"/>
                <w:sz w:val="20"/>
              </w:rPr>
              <w:t>OCI Package</w:t>
            </w:r>
          </w:p>
        </w:tc>
        <w:tc>
          <w:tcPr>
            <w:tcW w:type="dxa" w:w="3010"/>
            <w:shd w:fill="0078D4"/>
          </w:tcPr>
          <w:p>
            <w:pPr>
              <w:jc w:val="center"/>
            </w:pPr>
            <w:r>
              <w:rPr>
                <w:rFonts w:ascii="Segoe UI" w:hAnsi="Segoe UI"/>
                <w:b/>
                <w:color w:val="FFFFFF"/>
                <w:sz w:val="20"/>
              </w:rPr>
              <w:t>Purpose</w:t>
            </w:r>
          </w:p>
        </w:tc>
      </w:tr>
      <w:tr>
        <w:tc>
          <w:tcPr>
            <w:tcW w:type="dxa" w:w="3010"/>
          </w:tcPr>
          <w:p>
            <w:r>
              <w:rPr>
                <w:rFonts w:ascii="Segoe UI" w:hAnsi="Segoe UI"/>
                <w:sz w:val="20"/>
              </w:rPr>
              <w:t>mcp-actions-backend</w:t>
            </w:r>
          </w:p>
        </w:tc>
        <w:tc>
          <w:tcPr>
            <w:tcW w:type="dxa" w:w="3010"/>
          </w:tcPr>
          <w:p>
            <w:r>
              <w:rPr>
                <w:rFonts w:ascii="Segoe UI" w:hAnsi="Segoe UI"/>
                <w:sz w:val="20"/>
              </w:rPr>
              <w:t>ghcr.io/redhat-developer/rhdh-community-plugin-wrappers/backstage-plugin-mcp-actions-backend:bs_1.42.5__0.1.2</w:t>
            </w:r>
          </w:p>
        </w:tc>
        <w:tc>
          <w:tcPr>
            <w:tcW w:type="dxa" w:w="3010"/>
          </w:tcPr>
          <w:p>
            <w:r>
              <w:rPr>
                <w:rFonts w:ascii="Segoe UI" w:hAnsi="Segoe UI"/>
                <w:sz w:val="20"/>
              </w:rPr>
              <w:t>Core MCP server</w:t>
            </w:r>
          </w:p>
        </w:tc>
      </w:tr>
      <w:tr>
        <w:tc>
          <w:tcPr>
            <w:tcW w:type="dxa" w:w="3010"/>
          </w:tcPr>
          <w:p>
            <w:r>
              <w:rPr>
                <w:rFonts w:ascii="Segoe UI" w:hAnsi="Segoe UI"/>
                <w:sz w:val="20"/>
              </w:rPr>
              <w:t>software-catalog-mcp-tool</w:t>
            </w:r>
          </w:p>
        </w:tc>
        <w:tc>
          <w:tcPr>
            <w:tcW w:type="dxa" w:w="3010"/>
          </w:tcPr>
          <w:p>
            <w:r>
              <w:rPr>
                <w:rFonts w:ascii="Segoe UI" w:hAnsi="Segoe UI"/>
                <w:sz w:val="20"/>
              </w:rPr>
              <w:t>ghcr.io/redhat-developer/rhdh-community-plugin-wrappers/red-hat-developer-hub-backstage-plugin-software-catalog-mcp-tool:bs_1.42.5__0.2.3</w:t>
            </w:r>
          </w:p>
        </w:tc>
        <w:tc>
          <w:tcPr>
            <w:tcW w:type="dxa" w:w="3010"/>
          </w:tcPr>
          <w:p>
            <w:r>
              <w:rPr>
                <w:rFonts w:ascii="Segoe UI" w:hAnsi="Segoe UI"/>
                <w:sz w:val="20"/>
              </w:rPr>
              <w:t>Catalog queries</w:t>
            </w:r>
          </w:p>
        </w:tc>
      </w:tr>
      <w:tr>
        <w:tc>
          <w:tcPr>
            <w:tcW w:type="dxa" w:w="3010"/>
          </w:tcPr>
          <w:p>
            <w:r>
              <w:rPr>
                <w:rFonts w:ascii="Segoe UI" w:hAnsi="Segoe UI"/>
                <w:sz w:val="20"/>
              </w:rPr>
              <w:t>techdocs-mcp-tool</w:t>
            </w:r>
          </w:p>
        </w:tc>
        <w:tc>
          <w:tcPr>
            <w:tcW w:type="dxa" w:w="3010"/>
          </w:tcPr>
          <w:p>
            <w:r>
              <w:rPr>
                <w:rFonts w:ascii="Segoe UI" w:hAnsi="Segoe UI"/>
                <w:sz w:val="20"/>
              </w:rPr>
              <w:t>ghcr.io/redhat-developer/rhdh-community-plugin-wrappers/red-hat-developer-hub-backstage-plugin-techdocs-mcp-tool:bs_1.42.5__0.3.0</w:t>
            </w:r>
          </w:p>
        </w:tc>
        <w:tc>
          <w:tcPr>
            <w:tcW w:type="dxa" w:w="3010"/>
          </w:tcPr>
          <w:p>
            <w:r>
              <w:rPr>
                <w:rFonts w:ascii="Segoe UI" w:hAnsi="Segoe UI"/>
                <w:sz w:val="20"/>
              </w:rPr>
              <w:t>TechDocs queries</w:t>
            </w:r>
          </w:p>
        </w:tc>
      </w:tr>
    </w:tbl>
    <w:p/>
    <w:p>
      <w:pPr>
        <w:pStyle w:val="Heading2"/>
      </w:pPr>
      <w:r>
        <w:t>Layer 5 — Backend Services</w:t>
      </w:r>
    </w:p>
    <w:p>
      <w:pPr/>
      <w:r>
        <w:t>The MCP tools access RHDH's core backends: the Software Catalog (backed by PostgreSQL), TechDocs storage (S3 or object storage), GitHub APIs for repository metadata, and Kubernetes/OpenShift for runtime entity discovery.</w:t>
      </w:r>
    </w:p>
    <w:p>
      <w:r>
        <w:br w:type="page"/>
      </w:r>
    </w:p>
    <w:p>
      <w:pPr>
        <w:pStyle w:val="Heading1"/>
      </w:pPr>
      <w:r>
        <w:t>MCP Tools Reference</w:t>
      </w:r>
    </w:p>
    <w:p>
      <w:pPr/>
      <w:r>
        <w:t>RHDH 1.8 exposes four MCP tools that Claude Sonnet 4.5 can invoke via the Foundry Agent. Each tool accepts specific parameters and returns structured JSON.</w:t>
      </w:r>
    </w:p>
    <w:p>
      <w:pPr>
        <w:pStyle w:val="Heading2"/>
      </w:pPr>
      <w:r>
        <w:t>fetch-catalog-entities</w:t>
      </w:r>
    </w:p>
    <w:p>
      <w:pPr/>
      <w:r>
        <w:t>Queries the Software Catalog for entities matching given filters. Returns components, APIs, systems, users, groups, resources, and other Backstage entity kinds.</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Parameter</w:t>
            </w:r>
          </w:p>
        </w:tc>
        <w:tc>
          <w:tcPr>
            <w:tcW w:type="dxa" w:w="2257"/>
            <w:shd w:fill="0078D4"/>
          </w:tcPr>
          <w:p>
            <w:pPr>
              <w:jc w:val="center"/>
            </w:pPr>
            <w:r>
              <w:rPr>
                <w:rFonts w:ascii="Segoe UI" w:hAnsi="Segoe UI"/>
                <w:b/>
                <w:color w:val="FFFFFF"/>
                <w:sz w:val="20"/>
              </w:rPr>
              <w:t>Type</w:t>
            </w:r>
          </w:p>
        </w:tc>
        <w:tc>
          <w:tcPr>
            <w:tcW w:type="dxa" w:w="2257"/>
            <w:shd w:fill="0078D4"/>
          </w:tcPr>
          <w:p>
            <w:pPr>
              <w:jc w:val="center"/>
            </w:pPr>
            <w:r>
              <w:rPr>
                <w:rFonts w:ascii="Segoe UI" w:hAnsi="Segoe UI"/>
                <w:b/>
                <w:color w:val="FFFFFF"/>
                <w:sz w:val="20"/>
              </w:rPr>
              <w:t>Required</w:t>
            </w:r>
          </w:p>
        </w:tc>
        <w:tc>
          <w:tcPr>
            <w:tcW w:type="dxa" w:w="2257"/>
            <w:shd w:fill="0078D4"/>
          </w:tcPr>
          <w:p>
            <w:pPr>
              <w:jc w:val="center"/>
            </w:pPr>
            <w:r>
              <w:rPr>
                <w:rFonts w:ascii="Segoe UI" w:hAnsi="Segoe UI"/>
                <w:b/>
                <w:color w:val="FFFFFF"/>
                <w:sz w:val="20"/>
              </w:rPr>
              <w:t>Description</w:t>
            </w:r>
          </w:p>
        </w:tc>
      </w:tr>
      <w:tr>
        <w:tc>
          <w:tcPr>
            <w:tcW w:type="dxa" w:w="2257"/>
          </w:tcPr>
          <w:p>
            <w:r>
              <w:rPr>
                <w:rFonts w:ascii="Segoe UI" w:hAnsi="Segoe UI"/>
                <w:sz w:val="20"/>
              </w:rPr>
              <w:t>fields</w:t>
            </w:r>
          </w:p>
        </w:tc>
        <w:tc>
          <w:tcPr>
            <w:tcW w:type="dxa" w:w="2257"/>
          </w:tcPr>
          <w:p>
            <w:r>
              <w:rPr>
                <w:rFonts w:ascii="Segoe UI" w:hAnsi="Segoe UI"/>
                <w:sz w:val="20"/>
              </w:rPr>
              <w:t>string</w:t>
            </w:r>
          </w:p>
        </w:tc>
        <w:tc>
          <w:tcPr>
            <w:tcW w:type="dxa" w:w="2257"/>
          </w:tcPr>
          <w:p>
            <w:r>
              <w:rPr>
                <w:rFonts w:ascii="Segoe UI" w:hAnsi="Segoe UI"/>
                <w:sz w:val="20"/>
              </w:rPr>
              <w:t>No</w:t>
            </w:r>
          </w:p>
        </w:tc>
        <w:tc>
          <w:tcPr>
            <w:tcW w:type="dxa" w:w="2257"/>
          </w:tcPr>
          <w:p>
            <w:r>
              <w:rPr>
                <w:rFonts w:ascii="Segoe UI" w:hAnsi="Segoe UI"/>
                <w:sz w:val="20"/>
              </w:rPr>
              <w:t>Comma-separated entity fields to return</w:t>
            </w:r>
          </w:p>
        </w:tc>
      </w:tr>
      <w:tr>
        <w:tc>
          <w:tcPr>
            <w:tcW w:type="dxa" w:w="2257"/>
          </w:tcPr>
          <w:p>
            <w:r>
              <w:rPr>
                <w:rFonts w:ascii="Segoe UI" w:hAnsi="Segoe UI"/>
                <w:sz w:val="20"/>
              </w:rPr>
              <w:t>filter</w:t>
            </w:r>
          </w:p>
        </w:tc>
        <w:tc>
          <w:tcPr>
            <w:tcW w:type="dxa" w:w="2257"/>
          </w:tcPr>
          <w:p>
            <w:r>
              <w:rPr>
                <w:rFonts w:ascii="Segoe UI" w:hAnsi="Segoe UI"/>
                <w:sz w:val="20"/>
              </w:rPr>
              <w:t>string</w:t>
            </w:r>
          </w:p>
        </w:tc>
        <w:tc>
          <w:tcPr>
            <w:tcW w:type="dxa" w:w="2257"/>
          </w:tcPr>
          <w:p>
            <w:r>
              <w:rPr>
                <w:rFonts w:ascii="Segoe UI" w:hAnsi="Segoe UI"/>
                <w:sz w:val="20"/>
              </w:rPr>
              <w:t>No</w:t>
            </w:r>
          </w:p>
        </w:tc>
        <w:tc>
          <w:tcPr>
            <w:tcW w:type="dxa" w:w="2257"/>
          </w:tcPr>
          <w:p>
            <w:r>
              <w:rPr>
                <w:rFonts w:ascii="Segoe UI" w:hAnsi="Segoe UI"/>
                <w:sz w:val="20"/>
              </w:rPr>
              <w:t>Backstage catalog filter expression (e.g., kind=component,spec.type=service)</w:t>
            </w:r>
          </w:p>
        </w:tc>
      </w:tr>
      <w:tr>
        <w:tc>
          <w:tcPr>
            <w:tcW w:type="dxa" w:w="2257"/>
          </w:tcPr>
          <w:p>
            <w:r>
              <w:rPr>
                <w:rFonts w:ascii="Segoe UI" w:hAnsi="Segoe UI"/>
                <w:sz w:val="20"/>
              </w:rPr>
              <w:t>limit</w:t>
            </w:r>
          </w:p>
        </w:tc>
        <w:tc>
          <w:tcPr>
            <w:tcW w:type="dxa" w:w="2257"/>
          </w:tcPr>
          <w:p>
            <w:r>
              <w:rPr>
                <w:rFonts w:ascii="Segoe UI" w:hAnsi="Segoe UI"/>
                <w:sz w:val="20"/>
              </w:rPr>
              <w:t>integer</w:t>
            </w:r>
          </w:p>
        </w:tc>
        <w:tc>
          <w:tcPr>
            <w:tcW w:type="dxa" w:w="2257"/>
          </w:tcPr>
          <w:p>
            <w:r>
              <w:rPr>
                <w:rFonts w:ascii="Segoe UI" w:hAnsi="Segoe UI"/>
                <w:sz w:val="20"/>
              </w:rPr>
              <w:t>No</w:t>
            </w:r>
          </w:p>
        </w:tc>
        <w:tc>
          <w:tcPr>
            <w:tcW w:type="dxa" w:w="2257"/>
          </w:tcPr>
          <w:p>
            <w:r>
              <w:rPr>
                <w:rFonts w:ascii="Segoe UI" w:hAnsi="Segoe UI"/>
                <w:sz w:val="20"/>
              </w:rPr>
              <w:t>Maximum number of entities to return (default: all)</w:t>
            </w:r>
          </w:p>
        </w:tc>
      </w:tr>
    </w:tbl>
    <w:p/>
    <w:p>
      <w:pPr>
        <w:pStyle w:val="Heading2"/>
      </w:pPr>
      <w:r>
        <w:t>fetch-techdocs</w:t>
      </w:r>
    </w:p>
    <w:p>
      <w:pPr/>
      <w:r>
        <w:t>Retrieves TechDocs metadata for a specific entity, including available documentation pages and their structure.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Parameter</w:t>
            </w:r>
          </w:p>
        </w:tc>
        <w:tc>
          <w:tcPr>
            <w:tcW w:type="dxa" w:w="2257"/>
            <w:shd w:fill="0078D4"/>
          </w:tcPr>
          <w:p>
            <w:pPr>
              <w:jc w:val="center"/>
            </w:pPr>
            <w:r>
              <w:rPr>
                <w:rFonts w:ascii="Segoe UI" w:hAnsi="Segoe UI"/>
                <w:b/>
                <w:color w:val="FFFFFF"/>
                <w:sz w:val="20"/>
              </w:rPr>
              <w:t>Type</w:t>
            </w:r>
          </w:p>
        </w:tc>
        <w:tc>
          <w:tcPr>
            <w:tcW w:type="dxa" w:w="2257"/>
            <w:shd w:fill="0078D4"/>
          </w:tcPr>
          <w:p>
            <w:pPr>
              <w:jc w:val="center"/>
            </w:pPr>
            <w:r>
              <w:rPr>
                <w:rFonts w:ascii="Segoe UI" w:hAnsi="Segoe UI"/>
                <w:b/>
                <w:color w:val="FFFFFF"/>
                <w:sz w:val="20"/>
              </w:rPr>
              <w:t>Required</w:t>
            </w:r>
          </w:p>
        </w:tc>
        <w:tc>
          <w:tcPr>
            <w:tcW w:type="dxa" w:w="2257"/>
            <w:shd w:fill="0078D4"/>
          </w:tcPr>
          <w:p>
            <w:pPr>
              <w:jc w:val="center"/>
            </w:pPr>
            <w:r>
              <w:rPr>
                <w:rFonts w:ascii="Segoe UI" w:hAnsi="Segoe UI"/>
                <w:b/>
                <w:color w:val="FFFFFF"/>
                <w:sz w:val="20"/>
              </w:rPr>
              <w:t>Description</w:t>
            </w:r>
          </w:p>
        </w:tc>
      </w:tr>
      <w:tr>
        <w:tc>
          <w:tcPr>
            <w:tcW w:type="dxa" w:w="2257"/>
          </w:tcPr>
          <w:p>
            <w:r>
              <w:rPr>
                <w:rFonts w:ascii="Segoe UI" w:hAnsi="Segoe UI"/>
                <w:sz w:val="20"/>
              </w:rPr>
              <w:t>entity</w:t>
            </w:r>
          </w:p>
        </w:tc>
        <w:tc>
          <w:tcPr>
            <w:tcW w:type="dxa" w:w="2257"/>
          </w:tcPr>
          <w:p>
            <w:r>
              <w:rPr>
                <w:rFonts w:ascii="Segoe UI" w:hAnsi="Segoe UI"/>
                <w:sz w:val="20"/>
              </w:rPr>
              <w:t>string</w:t>
            </w:r>
          </w:p>
        </w:tc>
        <w:tc>
          <w:tcPr>
            <w:tcW w:type="dxa" w:w="2257"/>
          </w:tcPr>
          <w:p>
            <w:r>
              <w:rPr>
                <w:rFonts w:ascii="Segoe UI" w:hAnsi="Segoe UI"/>
                <w:sz w:val="20"/>
              </w:rPr>
              <w:t>Yes</w:t>
            </w:r>
          </w:p>
        </w:tc>
        <w:tc>
          <w:tcPr>
            <w:tcW w:type="dxa" w:w="2257"/>
          </w:tcPr>
          <w:p>
            <w:r>
              <w:rPr>
                <w:rFonts w:ascii="Segoe UI" w:hAnsi="Segoe UI"/>
                <w:sz w:val="20"/>
              </w:rPr>
              <w:t>Entity reference in format namespace/kind/name</w:t>
            </w:r>
          </w:p>
        </w:tc>
      </w:tr>
    </w:tbl>
    <w:p/>
    <w:p>
      <w:pPr>
        <w:pStyle w:val="Heading2"/>
      </w:pPr>
      <w:r>
        <w:t>analyze-techdocs-coverage</w:t>
      </w:r>
    </w:p>
    <w:p>
      <w:pPr/>
      <w:r>
        <w:t>Analyzes TechDocs coverage across the catalog, identifying which entities have documentation and which do not. Essential for compliance and documentation quality tracking.</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Parameter</w:t>
            </w:r>
          </w:p>
        </w:tc>
        <w:tc>
          <w:tcPr>
            <w:tcW w:type="dxa" w:w="2257"/>
            <w:shd w:fill="0078D4"/>
          </w:tcPr>
          <w:p>
            <w:pPr>
              <w:jc w:val="center"/>
            </w:pPr>
            <w:r>
              <w:rPr>
                <w:rFonts w:ascii="Segoe UI" w:hAnsi="Segoe UI"/>
                <w:b/>
                <w:color w:val="FFFFFF"/>
                <w:sz w:val="20"/>
              </w:rPr>
              <w:t>Type</w:t>
            </w:r>
          </w:p>
        </w:tc>
        <w:tc>
          <w:tcPr>
            <w:tcW w:type="dxa" w:w="2257"/>
            <w:shd w:fill="0078D4"/>
          </w:tcPr>
          <w:p>
            <w:pPr>
              <w:jc w:val="center"/>
            </w:pPr>
            <w:r>
              <w:rPr>
                <w:rFonts w:ascii="Segoe UI" w:hAnsi="Segoe UI"/>
                <w:b/>
                <w:color w:val="FFFFFF"/>
                <w:sz w:val="20"/>
              </w:rPr>
              <w:t>Required</w:t>
            </w:r>
          </w:p>
        </w:tc>
        <w:tc>
          <w:tcPr>
            <w:tcW w:type="dxa" w:w="2257"/>
            <w:shd w:fill="0078D4"/>
          </w:tcPr>
          <w:p>
            <w:pPr>
              <w:jc w:val="center"/>
            </w:pPr>
            <w:r>
              <w:rPr>
                <w:rFonts w:ascii="Segoe UI" w:hAnsi="Segoe UI"/>
                <w:b/>
                <w:color w:val="FFFFFF"/>
                <w:sz w:val="20"/>
              </w:rPr>
              <w:t>Description</w:t>
            </w:r>
          </w:p>
        </w:tc>
      </w:tr>
      <w:tr>
        <w:tc>
          <w:tcPr>
            <w:tcW w:type="dxa" w:w="2257"/>
          </w:tcPr>
          <w:p>
            <w:r>
              <w:rPr>
                <w:rFonts w:ascii="Segoe UI" w:hAnsi="Segoe UI"/>
                <w:sz w:val="20"/>
              </w:rPr>
              <w:t>filter</w:t>
            </w:r>
          </w:p>
        </w:tc>
        <w:tc>
          <w:tcPr>
            <w:tcW w:type="dxa" w:w="2257"/>
          </w:tcPr>
          <w:p>
            <w:r>
              <w:rPr>
                <w:rFonts w:ascii="Segoe UI" w:hAnsi="Segoe UI"/>
                <w:sz w:val="20"/>
              </w:rPr>
              <w:t>string</w:t>
            </w:r>
          </w:p>
        </w:tc>
        <w:tc>
          <w:tcPr>
            <w:tcW w:type="dxa" w:w="2257"/>
          </w:tcPr>
          <w:p>
            <w:r>
              <w:rPr>
                <w:rFonts w:ascii="Segoe UI" w:hAnsi="Segoe UI"/>
                <w:sz w:val="20"/>
              </w:rPr>
              <w:t>No</w:t>
            </w:r>
          </w:p>
        </w:tc>
        <w:tc>
          <w:tcPr>
            <w:tcW w:type="dxa" w:w="2257"/>
          </w:tcPr>
          <w:p>
            <w:r>
              <w:rPr>
                <w:rFonts w:ascii="Segoe UI" w:hAnsi="Segoe UI"/>
                <w:sz w:val="20"/>
              </w:rPr>
              <w:t>Catalog filter to scope the analysis (e.g., kind=component)</w:t>
            </w:r>
          </w:p>
        </w:tc>
      </w:tr>
    </w:tbl>
    <w:p/>
    <w:p>
      <w:pPr>
        <w:pStyle w:val="Heading2"/>
      </w:pPr>
      <w:r>
        <w:t>retrieve-techdocs-content</w:t>
      </w:r>
    </w:p>
    <w:p>
      <w:pPr/>
      <w:r>
        <w:t>Fetches the full content of a specific TechDocs page for a given entity. Returns the rendered documentation text that Claude Sonnet can then summarize, translate, or analyze.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Parameter</w:t>
            </w:r>
          </w:p>
        </w:tc>
        <w:tc>
          <w:tcPr>
            <w:tcW w:type="dxa" w:w="2257"/>
            <w:shd w:fill="0078D4"/>
          </w:tcPr>
          <w:p>
            <w:pPr>
              <w:jc w:val="center"/>
            </w:pPr>
            <w:r>
              <w:rPr>
                <w:rFonts w:ascii="Segoe UI" w:hAnsi="Segoe UI"/>
                <w:b/>
                <w:color w:val="FFFFFF"/>
                <w:sz w:val="20"/>
              </w:rPr>
              <w:t>Type</w:t>
            </w:r>
          </w:p>
        </w:tc>
        <w:tc>
          <w:tcPr>
            <w:tcW w:type="dxa" w:w="2257"/>
            <w:shd w:fill="0078D4"/>
          </w:tcPr>
          <w:p>
            <w:pPr>
              <w:jc w:val="center"/>
            </w:pPr>
            <w:r>
              <w:rPr>
                <w:rFonts w:ascii="Segoe UI" w:hAnsi="Segoe UI"/>
                <w:b/>
                <w:color w:val="FFFFFF"/>
                <w:sz w:val="20"/>
              </w:rPr>
              <w:t>Required</w:t>
            </w:r>
          </w:p>
        </w:tc>
        <w:tc>
          <w:tcPr>
            <w:tcW w:type="dxa" w:w="2257"/>
            <w:shd w:fill="0078D4"/>
          </w:tcPr>
          <w:p>
            <w:pPr>
              <w:jc w:val="center"/>
            </w:pPr>
            <w:r>
              <w:rPr>
                <w:rFonts w:ascii="Segoe UI" w:hAnsi="Segoe UI"/>
                <w:b/>
                <w:color w:val="FFFFFF"/>
                <w:sz w:val="20"/>
              </w:rPr>
              <w:t>Description</w:t>
            </w:r>
          </w:p>
        </w:tc>
      </w:tr>
      <w:tr>
        <w:tc>
          <w:tcPr>
            <w:tcW w:type="dxa" w:w="2257"/>
          </w:tcPr>
          <w:p>
            <w:r>
              <w:rPr>
                <w:rFonts w:ascii="Segoe UI" w:hAnsi="Segoe UI"/>
                <w:sz w:val="20"/>
              </w:rPr>
              <w:t>entity</w:t>
            </w:r>
          </w:p>
        </w:tc>
        <w:tc>
          <w:tcPr>
            <w:tcW w:type="dxa" w:w="2257"/>
          </w:tcPr>
          <w:p>
            <w:r>
              <w:rPr>
                <w:rFonts w:ascii="Segoe UI" w:hAnsi="Segoe UI"/>
                <w:sz w:val="20"/>
              </w:rPr>
              <w:t>string</w:t>
            </w:r>
          </w:p>
        </w:tc>
        <w:tc>
          <w:tcPr>
            <w:tcW w:type="dxa" w:w="2257"/>
          </w:tcPr>
          <w:p>
            <w:r>
              <w:rPr>
                <w:rFonts w:ascii="Segoe UI" w:hAnsi="Segoe UI"/>
                <w:sz w:val="20"/>
              </w:rPr>
              <w:t>Yes</w:t>
            </w:r>
          </w:p>
        </w:tc>
        <w:tc>
          <w:tcPr>
            <w:tcW w:type="dxa" w:w="2257"/>
          </w:tcPr>
          <w:p>
            <w:r>
              <w:rPr>
                <w:rFonts w:ascii="Segoe UI" w:hAnsi="Segoe UI"/>
                <w:sz w:val="20"/>
              </w:rPr>
              <w:t>Entity reference in format namespace/kind/name</w:t>
            </w:r>
          </w:p>
        </w:tc>
      </w:tr>
      <w:tr>
        <w:tc>
          <w:tcPr>
            <w:tcW w:type="dxa" w:w="2257"/>
          </w:tcPr>
          <w:p>
            <w:r>
              <w:rPr>
                <w:rFonts w:ascii="Segoe UI" w:hAnsi="Segoe UI"/>
                <w:sz w:val="20"/>
              </w:rPr>
              <w:t>path</w:t>
            </w:r>
          </w:p>
        </w:tc>
        <w:tc>
          <w:tcPr>
            <w:tcW w:type="dxa" w:w="2257"/>
          </w:tcPr>
          <w:p>
            <w:r>
              <w:rPr>
                <w:rFonts w:ascii="Segoe UI" w:hAnsi="Segoe UI"/>
                <w:sz w:val="20"/>
              </w:rPr>
              <w:t>string</w:t>
            </w:r>
          </w:p>
        </w:tc>
        <w:tc>
          <w:tcPr>
            <w:tcW w:type="dxa" w:w="2257"/>
          </w:tcPr>
          <w:p>
            <w:r>
              <w:rPr>
                <w:rFonts w:ascii="Segoe UI" w:hAnsi="Segoe UI"/>
                <w:sz w:val="20"/>
              </w:rPr>
              <w:t>No</w:t>
            </w:r>
          </w:p>
        </w:tc>
        <w:tc>
          <w:tcPr>
            <w:tcW w:type="dxa" w:w="2257"/>
          </w:tcPr>
          <w:p>
            <w:r>
              <w:rPr>
                <w:rFonts w:ascii="Segoe UI" w:hAnsi="Segoe UI"/>
                <w:sz w:val="20"/>
              </w:rPr>
              <w:t>Specific documentation page path (default: index)</w:t>
            </w:r>
          </w:p>
        </w:tc>
      </w:tr>
    </w:tbl>
    <w:p/>
    <w:p>
      <w:r>
        <w:br w:type="page"/>
      </w:r>
    </w:p>
    <w:p>
      <w:pPr>
        <w:pStyle w:val="Heading1"/>
      </w:pPr>
      <w:r>
        <w:t>Foundry Agent Configuration</w:t>
      </w:r>
    </w:p>
    <w:p>
      <w:pPr>
        <w:pStyle w:val="Heading2"/>
      </w:pPr>
      <w:r>
        <w:t>Python SDK Setup</w:t>
      </w:r>
    </w:p>
    <w:p>
      <w:pPr/>
      <w:r>
        <w:t>The following code creates a Foundry Agent with Claude Sonnet 4.5 and connects it to the RHDH MCP Server:</w:t>
      </w:r>
    </w:p>
    <w:p>
      <w:r>
        <w:t>```python</w:t>
      </w:r>
    </w:p>
    <w:p>
      <w:pPr>
        <w:spacing w:before="160" w:after="160"/>
        <w:ind w:left="360"/>
      </w:pPr>
      <w:r>
        <w:rPr>
          <w:rFonts w:ascii="Consolas" w:hAnsi="Consolas"/>
          <w:sz w:val="20"/>
        </w:rPr>
        <w:t>from azure.ai.projects import AIProjectClient</w:t>
        <w:br/>
        <w:t>from azure.ai.projects.models import McpToolDefinition</w:t>
        <w:br/>
        <w:t>from azure.identity import DefaultAzureCredential</w:t>
        <w:br/>
        <w:br/>
        <w:t># Initialize Foundry client</w:t>
        <w:br/>
        <w:t>client = AIProjectClient(</w:t>
        <w:br/>
        <w:t xml:space="preserve">    credential=DefaultAzureCredential(),</w:t>
        <w:br/>
        <w:t xml:space="preserve">    endpoint="https://&lt;your-foundry&gt;.api.azureml.ms",</w:t>
        <w:br/>
        <w:t xml:space="preserve">    project_name="developer-hub-agent"</w:t>
        <w:br/>
        <w:t>)</w:t>
        <w:br/>
        <w:br/>
        <w:t># Create agent with Claude Sonnet 4.5 + RHDH MCP tools</w:t>
        <w:br/>
        <w:t>agent = client.agents.create_agent(</w:t>
        <w:br/>
        <w:t xml:space="preserve">    model="claude-sonnet-4-5-20250929",</w:t>
        <w:br/>
        <w:t xml:space="preserve">    name="Developer Hub Assistant",</w:t>
        <w:br/>
        <w:t xml:space="preserve">    instructions="""You are a Developer Hub assistant that helps developers</w:t>
        <w:br/>
        <w:t xml:space="preserve">    query the Software Catalog and TechDocs. Use the RHDH MCP tools to</w:t>
        <w:br/>
        <w:t xml:space="preserve">    answer questions about components, APIs, documentation coverage,</w:t>
        <w:br/>
        <w:t xml:space="preserve">    and technical documentation content.""",</w:t>
        <w:br/>
        <w:t xml:space="preserve">    tools=[McpToolDefinition(</w:t>
        <w:br/>
        <w:t xml:space="preserve">        server_label="rhdh-mcp",</w:t>
        <w:br/>
        <w:t xml:space="preserve">        server_url="https://rhdh.example.com/api/mcp-actions/v1",</w:t>
        <w:br/>
        <w:t xml:space="preserve">        allowed_tools=[</w:t>
        <w:br/>
        <w:t xml:space="preserve">            "fetch-catalog-entities",</w:t>
        <w:br/>
        <w:t xml:space="preserve">            "fetch-techdocs",</w:t>
        <w:br/>
        <w:t xml:space="preserve">            "analyze-techdocs-coverage",</w:t>
        <w:br/>
        <w:t xml:space="preserve">            "retrieve-techdocs-content"</w:t>
        <w:br/>
        <w:t xml:space="preserve">        ]</w:t>
        <w:br/>
        <w:t xml:space="preserve">    )]</w:t>
        <w:br/>
        <w:t>)</w:t>
      </w:r>
    </w:p>
    <w:p>
      <w:pPr>
        <w:pStyle w:val="Heading2"/>
      </w:pPr>
      <w:r>
        <w:t>Running a Query</w:t>
      </w:r>
    </w:p>
    <w:p>
      <w:r>
        <w:t>```python</w:t>
      </w:r>
    </w:p>
    <w:p>
      <w:pPr>
        <w:spacing w:before="160" w:after="160"/>
        <w:ind w:left="360"/>
      </w:pPr>
      <w:r>
        <w:rPr>
          <w:rFonts w:ascii="Consolas" w:hAnsi="Consolas"/>
          <w:sz w:val="20"/>
        </w:rPr>
        <w:t># Create thread and run</w:t>
        <w:br/>
        <w:t>thread = client.agents.create_thread()</w:t>
        <w:br/>
        <w:br/>
        <w:t>message = client.agents.create_message(</w:t>
        <w:br/>
        <w:t xml:space="preserve">    thread_id=thread.id,</w:t>
        <w:br/>
        <w:t xml:space="preserve">    role="user",</w:t>
        <w:br/>
        <w:t xml:space="preserve">    content="List all components owned by team-platform that are in production"</w:t>
        <w:br/>
        <w:t>)</w:t>
        <w:br/>
        <w:br/>
        <w:t>run = client.agents.create_run(</w:t>
        <w:br/>
        <w:t xml:space="preserve">    thread_id=thread.id,</w:t>
        <w:br/>
        <w:t xml:space="preserve">    agent_id=agent.id,</w:t>
        <w:br/>
        <w:t xml:space="preserve">    tool_resources={</w:t>
        <w:br/>
        <w:t xml:space="preserve">        "mcp": {</w:t>
        <w:br/>
        <w:t xml:space="preserve">            "servers": {</w:t>
        <w:br/>
        <w:t xml:space="preserve">                "rhdh-mcp": {</w:t>
        <w:br/>
        <w:t xml:space="preserve">                    "headers": {</w:t>
        <w:br/>
        <w:t xml:space="preserve">                        "Authorization": "Bearer &lt;rhdh-static-token&gt;"</w:t>
        <w:br/>
        <w:t xml:space="preserve">                    },</w:t>
        <w:br/>
        <w:t xml:space="preserve">                    "require_approval": "never"</w:t>
        <w:br/>
        <w:t xml:space="preserve">                }</w:t>
        <w:br/>
        <w:t xml:space="preserve">            }</w:t>
        <w:br/>
        <w:t xml:space="preserve">        }</w:t>
        <w:br/>
        <w:t xml:space="preserve">    }</w:t>
        <w:br/>
        <w:t>)</w:t>
        <w:br/>
        <w:br/>
        <w:t># Get response</w:t>
        <w:br/>
        <w:t>messages = client.agents.list_messages(thread_id=thread.id)</w:t>
        <w:br/>
        <w:t>print(messages.data[0].content[0].text.value)</w:t>
      </w:r>
    </w:p>
    <w:p>
      <w:pPr>
        <w:pStyle w:val="Heading2"/>
      </w:pPr>
      <w:r>
        <w:t>RHDH app-config.yaml</w:t>
      </w:r>
    </w:p>
    <w:p>
      <w:pPr/>
      <w:r>
        <w:t>The RHDH side requires the following configuration to enable MCP and external access:</w:t>
      </w:r>
    </w:p>
    <w:p>
      <w:r>
        <w:t>```yaml</w:t>
      </w:r>
    </w:p>
    <w:p>
      <w:pPr>
        <w:spacing w:before="160" w:after="160"/>
        <w:ind w:left="360"/>
      </w:pPr>
      <w:r>
        <w:rPr>
          <w:rFonts w:ascii="Consolas" w:hAnsi="Consolas"/>
          <w:sz w:val="20"/>
        </w:rPr>
        <w:t># app-config.yaml</w:t>
        <w:br/>
        <w:t>app:</w:t>
        <w:br/>
        <w:t xml:space="preserve">  backend:</w:t>
        <w:br/>
        <w:t xml:space="preserve">    pluginSources:</w:t>
        <w:br/>
        <w:t xml:space="preserve">      - type: oci</w:t>
        <w:br/>
        <w:t xml:space="preserve">        value: &gt;-</w:t>
        <w:br/>
        <w:t xml:space="preserve">          ghcr.io/redhat-developer/rhdh-community-plugin-wrappers/backstage-plugin-mcp-actions-backend:bs_1.42.5__0.1.2</w:t>
        <w:br/>
        <w:t xml:space="preserve">      - type: oci</w:t>
        <w:br/>
        <w:t xml:space="preserve">        value: &gt;-</w:t>
        <w:br/>
        <w:t xml:space="preserve">          ghcr.io/redhat-developer/rhdh-community-plugin-wrappers/red-hat-developer-hub-backstage-plugin-software-catalog-mcp-tool:bs_1.42.5__0.2.3</w:t>
        <w:br/>
        <w:t xml:space="preserve">      - type: oci</w:t>
        <w:br/>
        <w:t xml:space="preserve">        value: &gt;-</w:t>
        <w:br/>
        <w:t xml:space="preserve">          ghcr.io/redhat-developer/rhdh-community-plugin-wrappers/red-hat-developer-hub-backstage-plugin-techdocs-mcp-tool:bs_1.42.5__0.3.0</w:t>
        <w:br/>
        <w:br/>
        <w:t>backend:</w:t>
        <w:br/>
        <w:t xml:space="preserve">  auth:</w:t>
        <w:br/>
        <w:t xml:space="preserve">    externalAccess:</w:t>
        <w:br/>
        <w:t xml:space="preserve">      - type: static</w:t>
        <w:br/>
        <w:t xml:space="preserve">        options:</w:t>
        <w:br/>
        <w:t xml:space="preserve">          token: ${MCP_ACCESS_TOKEN}</w:t>
        <w:br/>
        <w:t xml:space="preserve">          subject: mcp-clients</w:t>
      </w:r>
    </w:p>
    <w:p>
      <w:r>
        <w:br w:type="page"/>
      </w:r>
    </w:p>
    <w:p>
      <w:pPr>
        <w:pStyle w:val="Heading1"/>
      </w:pPr>
      <w:r>
        <w:t>Security Architecture</w:t>
      </w:r>
    </w:p>
    <w:p>
      <w:pPr>
        <w:pStyle w:val="Heading2"/>
      </w:pPr>
      <w:r>
        <w:t>Authentication Flow</w:t>
      </w:r>
    </w:p>
    <w:p>
      <w:pPr/>
      <w:r>
        <w:t>The security model uses a dual-layer authentication approach:</w:t>
      </w:r>
    </w:p>
    <w:p>
      <w:pPr>
        <w:ind w:left="360"/>
      </w:pPr>
      <w:r>
        <w:t>1. Developer authenticates to Azure AI Foundry via Entra ID (Azure AD) — managed identity or interactive login</w:t>
      </w:r>
    </w:p>
    <w:p>
      <w:pPr>
        <w:ind w:left="360"/>
      </w:pPr>
      <w:r>
        <w:t>2. Foundry Agent authenticates to RHDH MCP Server via static Bearer token — configured in externalAccess</w:t>
      </w:r>
    </w:p>
    <w:p>
      <w:pPr>
        <w:ind w:left="360"/>
      </w:pPr>
      <w:r>
        <w:t>3. RHDH validates the token and maps it to the 'mcp-clients' subject for authorization</w:t>
      </w:r>
    </w:p>
    <w:p>
      <w:pPr>
        <w:ind w:left="360"/>
      </w:pPr>
      <w:r>
        <w:t>4. All MCP tool calls inherit the 'mcp-clients' permissions within the Backstage permission framework</w:t>
      </w:r>
    </w:p>
    <w:p>
      <w:pPr>
        <w:pStyle w:val="Heading2"/>
      </w:pPr>
      <w:r>
        <w:t>Network Security</w:t>
      </w:r>
    </w:p>
    <w:p>
      <w:pPr>
        <w:pStyle w:val="ListBullet"/>
        <w:ind w:left="360"/>
      </w:pPr>
      <w:r>
        <w:t>RHDH MCP endpoint should be exposed via HTTPS only (TLS 1.2+)</w:t>
      </w:r>
    </w:p>
    <w:p>
      <w:pPr>
        <w:pStyle w:val="ListBullet"/>
        <w:ind w:left="360"/>
      </w:pPr>
      <w:r>
        <w:t>Use Azure Private Link or VPN Gateway if RHDH runs on-premises or in a private OpenShift cluster</w:t>
      </w:r>
    </w:p>
    <w:p>
      <w:pPr>
        <w:pStyle w:val="ListBullet"/>
        <w:ind w:left="360"/>
      </w:pPr>
      <w:r>
        <w:t>Restrict the MCP endpoint to known Foundry Agent Service IP ranges using network policies</w:t>
      </w:r>
    </w:p>
    <w:p>
      <w:pPr>
        <w:pStyle w:val="ListBullet"/>
        <w:ind w:left="360"/>
      </w:pPr>
      <w:r>
        <w:t>Rotate the static Bearer token periodically and store it in Azure Key Vault</w:t>
      </w:r>
    </w:p>
    <w:p>
      <w:pPr>
        <w:ind w:left="360" w:right="360"/>
      </w:pPr>
      <w:r>
        <w:rPr>
          <w:rFonts w:ascii="Segoe UI" w:hAnsi="Segoe UI"/>
          <w:b/>
          <w:color w:val="FFB900"/>
          <w:sz w:val="22"/>
        </w:rPr>
        <w:t xml:space="preserve">⚠️ Warning: </w:t>
      </w:r>
      <w:r>
        <w:rPr>
          <w:rFonts w:ascii="Segoe UI" w:hAnsi="Segoe UI"/>
          <w:sz w:val="22"/>
        </w:rPr>
        <w:t>MCP support in RHDH 1.8 is in Developer Preview status. It is not recommended for production workloads without additional security hardening and testing.</w:t>
      </w:r>
    </w:p>
    <w:p>
      <w:r>
        <w:br w:type="page"/>
      </w:r>
    </w:p>
    <w:p>
      <w:pPr>
        <w:pStyle w:val="Heading1"/>
      </w:pPr>
      <w:r>
        <w:t>Use Cases — Claude Sonnet 4.5 + RHDH</w:t>
      </w:r>
    </w:p>
    <w:p>
      <w:pPr>
        <w:pStyle w:val="Heading2"/>
      </w:pPr>
      <w:r>
        <w:t>1. Natural Language Catalog Search</w:t>
      </w:r>
    </w:p>
    <w:p>
      <w:pPr/>
      <w:r>
        <w:t>Developers ask questions like 'Show me all APIs owned by team-payments that use gRPC' and Claude Sonnet translates this into a fetch-catalog-entities call with appropriate filters. The agent then formats the results into a readable table with links back to the Developer Hub.</w:t>
      </w:r>
    </w:p>
    <w:p>
      <w:pPr>
        <w:pStyle w:val="Heading2"/>
      </w:pPr>
      <w:r>
        <w:t>2. Documentation Coverage Audit</w:t>
      </w:r>
    </w:p>
    <w:p>
      <w:pPr/>
      <w:r>
        <w:t>Engineering managers ask 'What percentage of our production services have TechDocs?' and Claude calls analyze-techdocs-coverage, computes the percentage, identifies gaps, and suggests which components should be documented first based on dependency count.</w:t>
      </w:r>
    </w:p>
    <w:p>
      <w:pPr>
        <w:pStyle w:val="Heading2"/>
      </w:pPr>
      <w:r>
        <w:t>3. Onboarding Acceleration</w:t>
      </w:r>
    </w:p>
    <w:p>
      <w:pPr/>
      <w:r>
        <w:t>New developers ask 'How does the payment-api service work?' and Claude retrieves the TechDocs content via retrieve-techdocs-content, summarizes the architecture, lists dependencies from the catalog, and provides a getting-started guide — all synthesized from official internal documentation.</w:t>
      </w:r>
    </w:p>
    <w:p>
      <w:pPr>
        <w:pStyle w:val="Heading2"/>
      </w:pPr>
      <w:r>
        <w:t>4. Cross-Service Dependency Mapping</w:t>
      </w:r>
    </w:p>
    <w:p>
      <w:pPr/>
      <w:r>
        <w:t>Architects ask 'Which services depend on the auth-service?' and Claude queries the catalog for all entities with spec.dependsOn containing the auth-service reference. The agent then builds a dependency tree and highlights circular dependencies.</w:t>
      </w:r>
    </w:p>
    <w:p>
      <w:pPr>
        <w:pStyle w:val="Heading2"/>
      </w:pPr>
      <w:r>
        <w:t>5. Compliance and Standards Verification</w:t>
      </w:r>
    </w:p>
    <w:p>
      <w:pPr/>
      <w:r>
        <w:t>Platform teams ask 'Are all services following our golden-path template?' and Claude queries all components, checks their annotations and labels against the expected template standards, and produces a compliance report with pass/fail status per service.</w:t>
      </w:r>
    </w:p>
    <w:p>
      <w:pPr>
        <w:pStyle w:val="Heading2"/>
      </w:pPr>
      <w:r>
        <w:t>6. Multi-Turn Investigation</w:t>
      </w:r>
    </w:p>
    <w:p>
      <w:pPr/>
      <w:r>
        <w:t>Claude Sonnet 4.5's extended context window (200K tokens) enables multi-turn investigations: a developer can start with 'Show me all services in production,' then drill down with 'Which of these don't have TechDocs?' then 'Generate a Jira ticket template for each one.' The agent maintains context across the entire conversation.</w:t>
      </w:r>
    </w:p>
    <w:p>
      <w:r>
        <w:br w:type="page"/>
      </w:r>
    </w:p>
    <w:p>
      <w:pPr>
        <w:pStyle w:val="Heading1"/>
      </w:pPr>
      <w:r>
        <w:t>Why Claude Sonnet 4.5 for This Architecture</w:t>
      </w:r>
    </w:p>
    <w:p>
      <w:pPr/>
      <w:r>
        <w:t>While Azure AI Foundry supports dozens of models, Claude Sonnet 4.5 offers specific advantages for Developer Hub integration: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257"/>
            <w:shd w:fill="0078D4"/>
          </w:tcPr>
          <w:p>
            <w:pPr>
              <w:jc w:val="center"/>
            </w:pPr>
            <w:r>
              <w:rPr>
                <w:rFonts w:ascii="Segoe UI" w:hAnsi="Segoe UI"/>
                <w:b/>
                <w:color w:val="FFFFFF"/>
                <w:sz w:val="20"/>
              </w:rPr>
              <w:t>Capability</w:t>
            </w:r>
          </w:p>
        </w:tc>
        <w:tc>
          <w:tcPr>
            <w:tcW w:type="dxa" w:w="2257"/>
            <w:shd w:fill="0078D4"/>
          </w:tcPr>
          <w:p>
            <w:pPr>
              <w:jc w:val="center"/>
            </w:pPr>
            <w:r>
              <w:rPr>
                <w:rFonts w:ascii="Segoe UI" w:hAnsi="Segoe UI"/>
                <w:b/>
                <w:color w:val="FFFFFF"/>
                <w:sz w:val="20"/>
              </w:rPr>
              <w:t>Claude Sonnet 4.5</w:t>
            </w:r>
          </w:p>
        </w:tc>
        <w:tc>
          <w:tcPr>
            <w:tcW w:type="dxa" w:w="2257"/>
            <w:shd w:fill="0078D4"/>
          </w:tcPr>
          <w:p>
            <w:pPr>
              <w:jc w:val="center"/>
            </w:pPr>
            <w:r>
              <w:rPr>
                <w:rFonts w:ascii="Segoe UI" w:hAnsi="Segoe UI"/>
                <w:b/>
                <w:color w:val="FFFFFF"/>
                <w:sz w:val="20"/>
              </w:rPr>
              <w:t>GPT-4o</w:t>
            </w:r>
          </w:p>
        </w:tc>
        <w:tc>
          <w:tcPr>
            <w:tcW w:type="dxa" w:w="2257"/>
            <w:shd w:fill="0078D4"/>
          </w:tcPr>
          <w:p>
            <w:pPr>
              <w:jc w:val="center"/>
            </w:pPr>
            <w:r>
              <w:rPr>
                <w:rFonts w:ascii="Segoe UI" w:hAnsi="Segoe UI"/>
                <w:b/>
                <w:color w:val="FFFFFF"/>
                <w:sz w:val="20"/>
              </w:rPr>
              <w:t>Llama 3.1 405B</w:t>
            </w:r>
          </w:p>
        </w:tc>
      </w:tr>
      <w:tr>
        <w:tc>
          <w:tcPr>
            <w:tcW w:type="dxa" w:w="2257"/>
          </w:tcPr>
          <w:p>
            <w:r>
              <w:rPr>
                <w:rFonts w:ascii="Segoe UI" w:hAnsi="Segoe UI"/>
                <w:sz w:val="20"/>
              </w:rPr>
              <w:t>Context Window</w:t>
            </w:r>
          </w:p>
        </w:tc>
        <w:tc>
          <w:tcPr>
            <w:tcW w:type="dxa" w:w="2257"/>
          </w:tcPr>
          <w:p>
            <w:r>
              <w:rPr>
                <w:rFonts w:ascii="Segoe UI" w:hAnsi="Segoe UI"/>
                <w:sz w:val="20"/>
              </w:rPr>
              <w:t>200K tokens</w:t>
            </w:r>
          </w:p>
        </w:tc>
        <w:tc>
          <w:tcPr>
            <w:tcW w:type="dxa" w:w="2257"/>
          </w:tcPr>
          <w:p>
            <w:r>
              <w:rPr>
                <w:rFonts w:ascii="Segoe UI" w:hAnsi="Segoe UI"/>
                <w:sz w:val="20"/>
              </w:rPr>
              <w:t>128K tokens</w:t>
            </w:r>
          </w:p>
        </w:tc>
        <w:tc>
          <w:tcPr>
            <w:tcW w:type="dxa" w:w="2257"/>
          </w:tcPr>
          <w:p>
            <w:r>
              <w:rPr>
                <w:rFonts w:ascii="Segoe UI" w:hAnsi="Segoe UI"/>
                <w:sz w:val="20"/>
              </w:rPr>
              <w:t>128K tokens</w:t>
            </w:r>
          </w:p>
        </w:tc>
      </w:tr>
      <w:tr>
        <w:tc>
          <w:tcPr>
            <w:tcW w:type="dxa" w:w="2257"/>
          </w:tcPr>
          <w:p>
            <w:r>
              <w:rPr>
                <w:rFonts w:ascii="Segoe UI" w:hAnsi="Segoe UI"/>
                <w:sz w:val="20"/>
              </w:rPr>
              <w:t>Tool Use Accuracy</w:t>
            </w:r>
          </w:p>
        </w:tc>
        <w:tc>
          <w:tcPr>
            <w:tcW w:type="dxa" w:w="2257"/>
          </w:tcPr>
          <w:p>
            <w:r>
              <w:rPr>
                <w:rFonts w:ascii="Segoe UI" w:hAnsi="Segoe UI"/>
                <w:sz w:val="20"/>
              </w:rPr>
              <w:t>Excellent — native MCP support</w:t>
            </w:r>
          </w:p>
        </w:tc>
        <w:tc>
          <w:tcPr>
            <w:tcW w:type="dxa" w:w="2257"/>
          </w:tcPr>
          <w:p>
            <w:r>
              <w:rPr>
                <w:rFonts w:ascii="Segoe UI" w:hAnsi="Segoe UI"/>
                <w:sz w:val="20"/>
              </w:rPr>
              <w:t>Very Good</w:t>
            </w:r>
          </w:p>
        </w:tc>
        <w:tc>
          <w:tcPr>
            <w:tcW w:type="dxa" w:w="2257"/>
          </w:tcPr>
          <w:p>
            <w:r>
              <w:rPr>
                <w:rFonts w:ascii="Segoe UI" w:hAnsi="Segoe UI"/>
                <w:sz w:val="20"/>
              </w:rPr>
              <w:t>Good</w:t>
            </w:r>
          </w:p>
        </w:tc>
      </w:tr>
      <w:tr>
        <w:tc>
          <w:tcPr>
            <w:tcW w:type="dxa" w:w="2257"/>
          </w:tcPr>
          <w:p>
            <w:r>
              <w:rPr>
                <w:rFonts w:ascii="Segoe UI" w:hAnsi="Segoe UI"/>
                <w:sz w:val="20"/>
              </w:rPr>
              <w:t>Code Understanding</w:t>
            </w:r>
          </w:p>
        </w:tc>
        <w:tc>
          <w:tcPr>
            <w:tcW w:type="dxa" w:w="2257"/>
          </w:tcPr>
          <w:p>
            <w:r>
              <w:rPr>
                <w:rFonts w:ascii="Segoe UI" w:hAnsi="Segoe UI"/>
                <w:sz w:val="20"/>
              </w:rPr>
              <w:t>Excellent — trained on code</w:t>
            </w:r>
          </w:p>
        </w:tc>
        <w:tc>
          <w:tcPr>
            <w:tcW w:type="dxa" w:w="2257"/>
          </w:tcPr>
          <w:p>
            <w:r>
              <w:rPr>
                <w:rFonts w:ascii="Segoe UI" w:hAnsi="Segoe UI"/>
                <w:sz w:val="20"/>
              </w:rPr>
              <w:t>Excellent</w:t>
            </w:r>
          </w:p>
        </w:tc>
        <w:tc>
          <w:tcPr>
            <w:tcW w:type="dxa" w:w="2257"/>
          </w:tcPr>
          <w:p>
            <w:r>
              <w:rPr>
                <w:rFonts w:ascii="Segoe UI" w:hAnsi="Segoe UI"/>
                <w:sz w:val="20"/>
              </w:rPr>
              <w:t>Very Good</w:t>
            </w:r>
          </w:p>
        </w:tc>
      </w:tr>
      <w:tr>
        <w:tc>
          <w:tcPr>
            <w:tcW w:type="dxa" w:w="2257"/>
          </w:tcPr>
          <w:p>
            <w:r>
              <w:rPr>
                <w:rFonts w:ascii="Segoe UI" w:hAnsi="Segoe UI"/>
                <w:sz w:val="20"/>
              </w:rPr>
              <w:t>Structured Output</w:t>
            </w:r>
          </w:p>
        </w:tc>
        <w:tc>
          <w:tcPr>
            <w:tcW w:type="dxa" w:w="2257"/>
          </w:tcPr>
          <w:p>
            <w:r>
              <w:rPr>
                <w:rFonts w:ascii="Segoe UI" w:hAnsi="Segoe UI"/>
                <w:sz w:val="20"/>
              </w:rPr>
              <w:t>Strong JSON/YAML compliance</w:t>
            </w:r>
          </w:p>
        </w:tc>
        <w:tc>
          <w:tcPr>
            <w:tcW w:type="dxa" w:w="2257"/>
          </w:tcPr>
          <w:p>
            <w:r>
              <w:rPr>
                <w:rFonts w:ascii="Segoe UI" w:hAnsi="Segoe UI"/>
                <w:sz w:val="20"/>
              </w:rPr>
              <w:t>Strong</w:t>
            </w:r>
          </w:p>
        </w:tc>
        <w:tc>
          <w:tcPr>
            <w:tcW w:type="dxa" w:w="2257"/>
          </w:tcPr>
          <w:p>
            <w:r>
              <w:rPr>
                <w:rFonts w:ascii="Segoe UI" w:hAnsi="Segoe UI"/>
                <w:sz w:val="20"/>
              </w:rPr>
              <w:t>Moderate</w:t>
            </w:r>
          </w:p>
        </w:tc>
      </w:tr>
      <w:tr>
        <w:tc>
          <w:tcPr>
            <w:tcW w:type="dxa" w:w="2257"/>
          </w:tcPr>
          <w:p>
            <w:r>
              <w:rPr>
                <w:rFonts w:ascii="Segoe UI" w:hAnsi="Segoe UI"/>
                <w:sz w:val="20"/>
              </w:rPr>
              <w:t>Latency (tool calls)</w:t>
            </w:r>
          </w:p>
        </w:tc>
        <w:tc>
          <w:tcPr>
            <w:tcW w:type="dxa" w:w="2257"/>
          </w:tcPr>
          <w:p>
            <w:r>
              <w:rPr>
                <w:rFonts w:ascii="Segoe UI" w:hAnsi="Segoe UI"/>
                <w:sz w:val="20"/>
              </w:rPr>
              <w:t>~1.5s per tool call</w:t>
            </w:r>
          </w:p>
        </w:tc>
        <w:tc>
          <w:tcPr>
            <w:tcW w:type="dxa" w:w="2257"/>
          </w:tcPr>
          <w:p>
            <w:r>
              <w:rPr>
                <w:rFonts w:ascii="Segoe UI" w:hAnsi="Segoe UI"/>
                <w:sz w:val="20"/>
              </w:rPr>
              <w:t>~1.2s per tool call</w:t>
            </w:r>
          </w:p>
        </w:tc>
        <w:tc>
          <w:tcPr>
            <w:tcW w:type="dxa" w:w="2257"/>
          </w:tcPr>
          <w:p>
            <w:r>
              <w:rPr>
                <w:rFonts w:ascii="Segoe UI" w:hAnsi="Segoe UI"/>
                <w:sz w:val="20"/>
              </w:rPr>
              <w:t>~2.5s per tool call</w:t>
            </w:r>
          </w:p>
        </w:tc>
      </w:tr>
      <w:tr>
        <w:tc>
          <w:tcPr>
            <w:tcW w:type="dxa" w:w="2257"/>
          </w:tcPr>
          <w:p>
            <w:r>
              <w:rPr>
                <w:rFonts w:ascii="Segoe UI" w:hAnsi="Segoe UI"/>
                <w:sz w:val="20"/>
              </w:rPr>
              <w:t>Cost (per 1M tokens)</w:t>
            </w:r>
          </w:p>
        </w:tc>
        <w:tc>
          <w:tcPr>
            <w:tcW w:type="dxa" w:w="2257"/>
          </w:tcPr>
          <w:p>
            <w:r>
              <w:rPr>
                <w:rFonts w:ascii="Segoe UI" w:hAnsi="Segoe UI"/>
                <w:sz w:val="20"/>
              </w:rPr>
              <w:t>Input $3 / Output $15</w:t>
            </w:r>
          </w:p>
        </w:tc>
        <w:tc>
          <w:tcPr>
            <w:tcW w:type="dxa" w:w="2257"/>
          </w:tcPr>
          <w:p>
            <w:r>
              <w:rPr>
                <w:rFonts w:ascii="Segoe UI" w:hAnsi="Segoe UI"/>
                <w:sz w:val="20"/>
              </w:rPr>
              <w:t>Input $2.5 / Output $10</w:t>
            </w:r>
          </w:p>
        </w:tc>
        <w:tc>
          <w:tcPr>
            <w:tcW w:type="dxa" w:w="2257"/>
          </w:tcPr>
          <w:p>
            <w:r>
              <w:rPr>
                <w:rFonts w:ascii="Segoe UI" w:hAnsi="Segoe UI"/>
                <w:sz w:val="20"/>
              </w:rPr>
              <w:t>Self-hosted varies</w:t>
            </w:r>
          </w:p>
        </w:tc>
      </w:tr>
      <w:tr>
        <w:tc>
          <w:tcPr>
            <w:tcW w:type="dxa" w:w="2257"/>
          </w:tcPr>
          <w:p>
            <w:r>
              <w:rPr>
                <w:rFonts w:ascii="Segoe UI" w:hAnsi="Segoe UI"/>
                <w:sz w:val="20"/>
              </w:rPr>
              <w:t>Foundry Availability</w:t>
            </w:r>
          </w:p>
        </w:tc>
        <w:tc>
          <w:tcPr>
            <w:tcW w:type="dxa" w:w="2257"/>
          </w:tcPr>
          <w:p>
            <w:r>
              <w:rPr>
                <w:rFonts w:ascii="Segoe UI" w:hAnsi="Segoe UI"/>
                <w:sz w:val="20"/>
              </w:rPr>
              <w:t>Yes — model catalog</w:t>
            </w:r>
          </w:p>
        </w:tc>
        <w:tc>
          <w:tcPr>
            <w:tcW w:type="dxa" w:w="2257"/>
          </w:tcPr>
          <w:p>
            <w:r>
              <w:rPr>
                <w:rFonts w:ascii="Segoe UI" w:hAnsi="Segoe UI"/>
                <w:sz w:val="20"/>
              </w:rPr>
              <w:t>Yes — native</w:t>
            </w:r>
          </w:p>
        </w:tc>
        <w:tc>
          <w:tcPr>
            <w:tcW w:type="dxa" w:w="2257"/>
          </w:tcPr>
          <w:p>
            <w:r>
              <w:rPr>
                <w:rFonts w:ascii="Segoe UI" w:hAnsi="Segoe UI"/>
                <w:sz w:val="20"/>
              </w:rPr>
              <w:t>Yes — model catalog</w:t>
            </w:r>
          </w:p>
        </w:tc>
      </w:tr>
    </w:tbl>
    <w:p/>
    <w:p>
      <w:pPr/>
      <w:r>
        <w:t>Claude Sonnet 4.5's native MCP support means it understands the protocol semantics natively — it can reason about tool schemas, handle errors gracefully, and optimize tool call sequences without explicit prompting.</w:t>
      </w:r>
    </w:p>
    <w:p>
      <w:pPr>
        <w:ind w:left="360" w:right="360"/>
      </w:pPr>
      <w:r>
        <w:rPr>
          <w:rFonts w:ascii="Segoe UI" w:hAnsi="Segoe UI"/>
          <w:b/>
          <w:color w:val="0078D4"/>
          <w:sz w:val="22"/>
        </w:rPr>
        <w:t xml:space="preserve">ℹ️ Note: </w:t>
      </w:r>
      <w:r>
        <w:rPr>
          <w:rFonts w:ascii="Segoe UI" w:hAnsi="Segoe UI"/>
          <w:sz w:val="22"/>
        </w:rPr>
        <w:t>All models in the Foundry catalog can be swapped in/out by changing the 'model' parameter in the agent configuration. No other changes are needed.</w:t>
      </w:r>
    </w:p>
    <w:p>
      <w:r>
        <w:br w:type="page"/>
      </w:r>
    </w:p>
    <w:p>
      <w:pPr>
        <w:pStyle w:val="Heading1"/>
      </w:pPr>
      <w:r>
        <w:t>Deployment Guide</w:t>
      </w:r>
    </w:p>
    <w:p>
      <w:pPr>
        <w:pStyle w:val="Heading2"/>
      </w:pPr>
      <w:r>
        <w:t>Prerequisites</w:t>
      </w:r>
    </w:p>
    <w:p>
      <w:pPr>
        <w:ind w:left="360"/>
      </w:pPr>
      <w:r>
        <w:t>1. Azure AI Foundry workspace with Claude Sonnet 4.5 deployed from the model catalog</w:t>
      </w:r>
    </w:p>
    <w:p>
      <w:pPr>
        <w:ind w:left="360"/>
      </w:pPr>
      <w:r>
        <w:t>2. RHDH 1.8 running on OpenShift/Kubernetes with external HTTP access</w:t>
      </w:r>
    </w:p>
    <w:p>
      <w:pPr>
        <w:ind w:left="360"/>
      </w:pPr>
      <w:r>
        <w:t>3. Three MCP plugin OCI packages installed in RHDH (see Section 2)</w:t>
      </w:r>
    </w:p>
    <w:p>
      <w:pPr>
        <w:ind w:left="360"/>
      </w:pPr>
      <w:r>
        <w:t>4. Static Bearer token generated and stored in Azure Key Vault</w:t>
      </w:r>
    </w:p>
    <w:p>
      <w:pPr>
        <w:ind w:left="360"/>
      </w:pPr>
      <w:r>
        <w:t>5. Python 3.10+ with azure-ai-projects SDK installed</w:t>
      </w:r>
    </w:p>
    <w:p>
      <w:pPr>
        <w:pStyle w:val="Heading2"/>
      </w:pPr>
      <w:r>
        <w:t>Step 1 — Configure RHDH MCP Server</w:t>
      </w:r>
    </w:p>
    <w:p>
      <w:pPr/>
      <w:r>
        <w:t>Add the three plugin packages to your app-config.yaml and configure externalAccess (see Section 4).</w:t>
      </w:r>
    </w:p>
    <w:p>
      <w:pPr>
        <w:pStyle w:val="Heading2"/>
      </w:pPr>
      <w:r>
        <w:t>Step 2 — Deploy Claude Sonnet 4.5 in Foundry</w:t>
      </w:r>
    </w:p>
    <w:p>
      <w:pPr/>
      <w:r>
        <w:t>Navigate to Azure AI Foundry &gt; Models &gt; Claude Sonnet 4.5. Deploy it as a serverless endpoint. Note the deployment name — you'll use it as the 'model' parameter in your agent.</w:t>
      </w:r>
    </w:p>
    <w:p>
      <w:pPr>
        <w:pStyle w:val="Heading2"/>
      </w:pPr>
      <w:r>
        <w:t>Step 3 — Create the Foundry Agent</w:t>
      </w:r>
    </w:p>
    <w:p>
      <w:pPr/>
      <w:r>
        <w:t>Use the Python SDK code from Section 4 to create the agent with the McpToolDefinition pointing to your RHDH endpoint.</w:t>
      </w:r>
    </w:p>
    <w:p>
      <w:pPr>
        <w:pStyle w:val="Heading2"/>
      </w:pPr>
      <w:r>
        <w:t>Step 4 — Test End-to-End</w:t>
      </w:r>
    </w:p>
    <w:p>
      <w:r>
        <w:t>```bash</w:t>
      </w:r>
    </w:p>
    <w:p>
      <w:pPr>
        <w:spacing w:before="160" w:after="160"/>
        <w:ind w:left="360"/>
      </w:pPr>
      <w:r>
        <w:rPr>
          <w:rFonts w:ascii="Consolas" w:hAnsi="Consolas"/>
          <w:sz w:val="20"/>
        </w:rPr>
        <w:t># Quick test</w:t>
        <w:br/>
        <w:t>curl -X POST https://&lt;foundry-endpoint&gt;/agents/&lt;agent-id&gt;/threads \</w:t>
        <w:br/>
        <w:t xml:space="preserve">  -H "Authorization: Bearer &lt;entra-token&gt;" \</w:t>
        <w:br/>
        <w:t xml:space="preserve">  -H "Content-Type: application/json" \</w:t>
        <w:br/>
        <w:t xml:space="preserve">  -d '{"messages": [{"role": "user", "content": "List all components in the catalog"}]}'</w:t>
      </w:r>
    </w:p>
    <w:p>
      <w:pPr>
        <w:pStyle w:val="Heading2"/>
      </w:pPr>
      <w:r>
        <w:t>Step 5 — Connect IDE Clients</w:t>
      </w:r>
    </w:p>
    <w:p>
      <w:pPr/>
      <w:r>
        <w:t>Configure VS Code, Cursor, or Continue to point to the Foundry Agent endpoint. Developers can then query the Developer Hub directly from their IDE chat panels.</w:t>
      </w:r>
    </w:p>
    <w:p>
      <w:r>
        <w:br w:type="page"/>
      </w:r>
    </w:p>
    <w:p>
      <w:pPr>
        <w:pStyle w:val="Heading1"/>
      </w:pPr>
      <w:r>
        <w:t>Sources</w:t>
      </w:r>
    </w:p>
    <w:p>
      <w:pPr>
        <w:pStyle w:val="MSSource"/>
      </w:pPr>
      <w:r>
        <w:t>Source: Red Hat Developer Hub 1.8 — Interacting with MCP Tools (https://docs.redhat.com/en/documentation/red_hat_developer_hub/1.8/html/interacting_with_model_context_protocol_tools_for_red_hat_developer_hub/index)</w:t>
      </w:r>
    </w:p>
    <w:p>
      <w:pPr>
        <w:pStyle w:val="MSSource"/>
      </w:pPr>
      <w:r>
        <w:t>Source: Azure AI Foundry — Connect to MCP Server Endpoint (https://learn.microsoft.com/en-us/azure/ai-foundry/agents/how-to/tools-classic/model-context-protocol)</w:t>
      </w:r>
    </w:p>
    <w:p>
      <w:pPr>
        <w:pStyle w:val="MSSource"/>
      </w:pPr>
      <w:r>
        <w:t>Source: Introducing MCP in Azure AI Foundry — Microsoft Blog (https://devblogs.microsoft.com/foundry/integrating-azure-ai-agents-mcp/)</w:t>
      </w:r>
    </w:p>
    <w:p>
      <w:pPr>
        <w:pStyle w:val="MSSource"/>
      </w:pPr>
      <w:r>
        <w:t>Source: Foundry MCP Server (Preview) in the Cloud (https://devblogs.microsoft.com/foundry/announcing-foundry-mcp-server-preview-speeding-up-ai-dev-with-microsoft-foundry/)</w:t>
      </w:r>
    </w:p>
    <w:p>
      <w:pPr>
        <w:pStyle w:val="MSSource"/>
      </w:pPr>
      <w:r>
        <w:t>Source: Azure AI Foundry Model Catalog — Claude Sonnet 4.5 (https://azure.microsoft.com/en-us/products/ai-foundry/models)</w:t>
      </w:r>
    </w:p>
    <w:p>
      <w:pPr>
        <w:pStyle w:val="MSSource"/>
      </w:pPr>
      <w:r>
        <w:t>Source: What's New in Microsoft Foundry — Dec 2025 &amp; Jan 2026 (https://devblogs.microsoft.com/foundry/whats-new-in-microsoft-foundry-dec-2025-jan-2026/)</w:t>
      </w:r>
    </w:p>
    <w:p>
      <w:pPr>
        <w:pStyle w:val="MSSource"/>
      </w:pPr>
      <w:r>
        <w:t>Source: Model Context Protocol Specification (https://modelcontextprotocol.io/specification)</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66666"/>
        <w:sz w:val="16"/>
      </w:rPr>
      <w:t xml:space="preserve">Microsoft Confidential | </w:t>
    </w:r>
    <w:r>
      <w:rPr>
        <w:rFonts w:ascii="Segoe UI" w:hAnsi="Segoe UI"/>
        <w:color w:val="666666"/>
        <w:sz w:val="16"/>
      </w:rPr>
      <w:t xml:space="preserve">Page </w:t>
    </w:r>
    <w:r>
      <w:rPr>
        <w:rFonts w:ascii="Segoe UI" w:hAnsi="Segoe UI"/>
        <w:color w:val="666666"/>
        <w:sz w:val="16"/>
      </w:rPr>
      <w:fldChar w:fldCharType="begin"/>
      <w:instrText>PAGE</w:instrText>
      <w:fldChar w:fldCharType="end"/>
    </w:r>
    <w:r>
      <w:rPr>
        <w:rFonts w:ascii="Segoe UI" w:hAnsi="Segoe UI"/>
        <w:color w:val="666666"/>
        <w:sz w:val="16"/>
      </w:rPr>
      <w:t xml:space="preserve"> of </w:t>
    </w:r>
    <w:r>
      <w:rPr>
        <w:rFonts w:ascii="Segoe UI" w:hAnsi="Segoe UI"/>
        <w:color w:val="666666"/>
        <w:sz w:val="16"/>
      </w:rPr>
      <w:fldChar w:fldCharType="begin"/>
      <w:instrText>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0078D4"/>
      </w:pBdr>
    </w:pPr>
    <w:r>
      <w:rPr>
        <w:rFonts w:ascii="Segoe UI" w:hAnsi="Segoe UI"/>
        <w:color w:val="333333"/>
        <w:sz w:val="18"/>
      </w:rPr>
      <w:t>Azure AI Foundry + RHDH MCP | Latam Software GBB |</w:t>
    </w:r>
    <w:r>
      <w:br/>
    </w:r>
    <w:r>
      <w:rPr>
        <w:rFonts w:ascii="Segoe UI" w:hAnsi="Segoe UI"/>
        <w:color w:val="666666"/>
        <w:sz w:val="16"/>
      </w:rPr>
      <w:t>Version 1.0 | paulasilva@microsoft.com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120" w:after="160" w:line="276" w:lineRule="auto"/>
    </w:pPr>
    <w:rPr>
      <w:rFonts w:ascii="Segoe UI" w:hAnsi="Segoe U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Segoe UI" w:hAnsi="Segoe UI"/>
      <w:b/>
      <w:bCs/>
      <w:color w:val="0078D4"/>
      <w:sz w:val="36"/>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Segoe UI" w:hAnsi="Segoe UI"/>
      <w:b/>
      <w:bCs/>
      <w:color w:val="005A9E"/>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76" w:lineRule="auto"/>
      <w:outlineLvl w:val="2"/>
    </w:pPr>
    <w:rPr>
      <w:rFonts w:asciiTheme="majorHAnsi" w:eastAsiaTheme="majorEastAsia" w:hAnsiTheme="majorHAnsi" w:cstheme="majorBidi" w:ascii="Segoe UI" w:hAnsi="Segoe UI"/>
      <w:b/>
      <w:bCs/>
      <w:color w:val="333333"/>
      <w:sz w:val="28"/>
    </w:rPr>
  </w:style>
  <w:style w:type="paragraph" w:styleId="Heading4">
    <w:name w:val="heading 4"/>
    <w:basedOn w:val="Normal"/>
    <w:next w:val="Normal"/>
    <w:link w:val="Heading4Char"/>
    <w:uiPriority w:val="9"/>
    <w:semiHidden/>
    <w:unhideWhenUsed/>
    <w:qFormat/>
    <w:rsid w:val="00FC693F"/>
    <w:pPr>
      <w:keepNext/>
      <w:keepLines/>
      <w:spacing w:before="200" w:after="80" w:line="276" w:lineRule="auto"/>
      <w:outlineLvl w:val="3"/>
    </w:pPr>
    <w:rPr>
      <w:rFonts w:asciiTheme="majorHAnsi" w:eastAsiaTheme="majorEastAsia" w:hAnsiTheme="majorHAnsi" w:cstheme="majorBidi" w:ascii="Segoe UI" w:hAnsi="Segoe UI"/>
      <w:b/>
      <w:bCs/>
      <w:i/>
      <w:iCs/>
      <w:color w:val="333333"/>
      <w:sz w:val="24"/>
    </w:rPr>
  </w:style>
  <w:style w:type="paragraph" w:styleId="Heading5">
    <w:name w:val="heading 5"/>
    <w:basedOn w:val="Normal"/>
    <w:next w:val="Normal"/>
    <w:link w:val="Heading5Char"/>
    <w:uiPriority w:val="9"/>
    <w:semiHidden/>
    <w:unhideWhenUsed/>
    <w:qFormat/>
    <w:rsid w:val="00FC693F"/>
    <w:pPr>
      <w:keepNext/>
      <w:keepLines/>
      <w:spacing w:before="160" w:after="80" w:line="276" w:lineRule="auto"/>
      <w:outlineLvl w:val="4"/>
    </w:pPr>
    <w:rPr>
      <w:rFonts w:asciiTheme="majorHAnsi" w:eastAsiaTheme="majorEastAsia" w:hAnsiTheme="majorHAnsi" w:cstheme="majorBidi" w:ascii="Segoe UI" w:hAnsi="Segoe UI"/>
      <w:b/>
      <w:i/>
      <w:color w:val="50505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60" w:after="60" w:line="276" w:lineRule="auto"/>
      <w:ind w:left="720"/>
      <w:contextualSpacing/>
    </w:pPr>
    <w:rPr>
      <w:rFonts w:ascii="Segoe UI" w:hAnsi="Segoe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itle">
    <w:name w:val="MS Title"/>
    <w:pPr>
      <w:spacing w:before="0" w:after="240" w:line="276" w:lineRule="auto"/>
      <w:jc w:val="center"/>
    </w:pPr>
    <w:rPr>
      <w:rFonts w:ascii="Segoe UI" w:hAnsi="Segoe UI"/>
      <w:b/>
      <w:color w:val="0078D4"/>
      <w:sz w:val="56"/>
    </w:rPr>
  </w:style>
  <w:style w:type="paragraph" w:customStyle="1" w:styleId="MSCaption">
    <w:name w:val="MS Caption"/>
    <w:pPr>
      <w:spacing w:before="80" w:after="160"/>
      <w:jc w:val="center"/>
    </w:pPr>
    <w:rPr>
      <w:rFonts w:ascii="Segoe UI" w:hAnsi="Segoe UI"/>
      <w:i/>
      <w:color w:val="666666"/>
      <w:sz w:val="18"/>
    </w:rPr>
  </w:style>
  <w:style w:type="paragraph" w:customStyle="1" w:styleId="MSSource">
    <w:name w:val="MS Source"/>
    <w:pPr>
      <w:spacing w:before="40" w:after="160"/>
    </w:pPr>
    <w:rPr>
      <w:rFonts w:ascii="Segoe UI" w:hAnsi="Segoe UI"/>
      <w:i/>
      <w:color w:val="005A9E"/>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AI Foundry + RHDH MCP</dc:title>
  <dc:subject>Architecture Guide — Claude Sonnet 4.5 as AI Backbone for Developer Hub</dc:subject>
  <dc:creator>paulasilva@microsoft.com</dc:creator>
  <cp:keywords>Latam Software GBB, Microsoft, Professional Document</cp:keywords>
  <dc:description>Created by Latam Software GBB</dc:description>
  <cp:lastModifiedBy/>
  <cp:revision>1</cp:revision>
  <dcterms:created xsi:type="dcterms:W3CDTF">2013-12-23T23:15:00Z</dcterms:created>
  <dcterms:modified xsi:type="dcterms:W3CDTF">2013-12-23T23:15:00Z</dcterms:modified>
  <cp:category>Technical Documentation</cp:category>
  <dc:language>en-US</dc:language>
</cp:coreProperties>
</file>