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Email &amp; Phishing Security — Recommended Controls</w:t>
      </w:r>
    </w:p>
    <w:p>
      <w:r>
        <w:rPr>
          <w:b/>
          <w:color w:val="0F6E56"/>
          <w:sz w:val="20"/>
        </w:rPr>
        <w:t>Owner: Ali Sayed Ali (230105913) — Email &amp; Phishing Security</w:t>
      </w:r>
    </w:p>
    <w:p/>
    <w:p>
      <w:r>
        <w:t>Based on the analysis of the four email artifacts (see 07_Email_Phishing/Evidence/Email_Artifacts.docx) and the indicator scoring model (07_Email_Phishing/Analysis), the following technical and user-focused controls are recommended for FreshCart.</w:t>
      </w:r>
    </w:p>
    <w:p/>
    <w:p>
      <w:r>
        <w:rPr>
          <w:b/>
          <w:color w:val="0F6E56"/>
          <w:sz w:val="24"/>
        </w:rPr>
        <w:t>Technical Controls</w:t>
      </w:r>
    </w:p>
    <w:p>
      <w:pPr>
        <w:pStyle w:val="ListBullet"/>
      </w:pPr>
      <w:r>
        <w:t>Enable SPF/DKIM/DMARC validation (or document their intended configuration) so lookalike domains such as freshcart-secure.com and freshcart-invoices.net are flagged or rejected automatically instead of reaching finance01's inbox.</w:t>
      </w:r>
    </w:p>
    <w:p>
      <w:pPr>
        <w:pStyle w:val="ListBullet"/>
      </w:pPr>
      <w:r>
        <w:t>Block or warn on external domains that closely resemble the internal domain (typosquatting detection) — both malicious emails in this analysis (Email 1, Email 4) used a domain visually similar to freshcart.local.</w:t>
      </w:r>
    </w:p>
    <w:p/>
    <w:p>
      <w:r>
        <w:rPr>
          <w:b/>
          <w:color w:val="0F6E56"/>
          <w:sz w:val="24"/>
        </w:rPr>
        <w:t>User-Focused Controls</w:t>
      </w:r>
    </w:p>
    <w:p>
      <w:pPr>
        <w:pStyle w:val="ListBullet"/>
      </w:pPr>
      <w:r>
        <w:t>Security awareness reminder: IT will never ask employees to “verify” credentials via an emailed link; password resets should always be initiated by the user through the known internal portal.</w:t>
      </w:r>
    </w:p>
    <w:p>
      <w:pPr>
        <w:pStyle w:val="ListBullet"/>
      </w:pPr>
      <w:r>
        <w:t>Report-phishing button/procedure so employees can flag suspicious messages like Email 1 and Email 4 for review, rather than acting on them directly.</w:t>
      </w:r>
    </w:p>
    <w:p/>
    <w:p>
      <w:r>
        <w:rPr>
          <w:b/>
          <w:color w:val="0F6E56"/>
          <w:sz w:val="24"/>
        </w:rPr>
        <w:t>Cross-Team Dependency</w:t>
      </w:r>
    </w:p>
    <w:p>
      <w:pPr>
        <w:pStyle w:val="ListBullet"/>
      </w:pPr>
      <w:r>
        <w:t>To IAM: Email 1 targets finance01 specifically — supports prioritizing a review of finance01's recent authentication activity.</w:t>
      </w:r>
    </w:p>
    <w:p>
      <w:pPr>
        <w:pStyle w:val="ListBullet"/>
      </w:pPr>
      <w:r>
        <w:t>To SOC: Email 1's timestamp and indicators (domain, link, urgency) feed directly into the incident timeline as the likely initial access vector (see 10_SOC_Incident_Response/Timeline).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