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BDE9A" w14:textId="77777777" w:rsidR="004E7EFE" w:rsidRPr="004E7EFE" w:rsidRDefault="004E7EFE" w:rsidP="004E7EFE">
      <w:pPr>
        <w:rPr>
          <w:lang w:bidi="ar-EG"/>
        </w:rPr>
      </w:pPr>
    </w:p>
    <w:p w14:paraId="5EAA6304" w14:textId="77777777" w:rsidR="004E7EFE" w:rsidRPr="004E7EFE" w:rsidRDefault="004E7EFE" w:rsidP="004E7EFE">
      <w:pPr>
        <w:rPr>
          <w:b/>
          <w:bCs/>
          <w:lang w:bidi="ar-EG"/>
        </w:rPr>
      </w:pPr>
      <w:r w:rsidRPr="004E7EFE">
        <w:rPr>
          <w:b/>
          <w:bCs/>
          <w:lang w:bidi="ar-EG"/>
        </w:rPr>
        <w:t>Organization-Level Risk Prioritization — Top 5 Risks</w:t>
      </w:r>
    </w:p>
    <w:p>
      <w:r>
        <w:rPr>
          <w:b/>
          <w:i/>
          <w:color w:val="0F6E56"/>
          <w:sz w:val="20"/>
        </w:rPr>
        <w:t>Owner: Team — Vulnerability Management</w:t>
      </w:r>
    </w:p>
    <w:p w14:paraId="49A56951" w14:textId="77777777" w:rsidR="004E7EFE" w:rsidRPr="004E7EFE" w:rsidRDefault="004E7EFE" w:rsidP="004E7EFE">
      <w:pPr>
        <w:rPr>
          <w:b/>
          <w:bCs/>
          <w:lang w:bidi="ar-EG"/>
        </w:rPr>
      </w:pPr>
      <w:r w:rsidRPr="004E7EFE">
        <w:rPr>
          <w:b/>
          <w:bCs/>
          <w:lang w:bidi="ar-EG"/>
        </w:rPr>
        <w:t>Methodology</w:t>
      </w:r>
    </w:p>
    <w:p w14:paraId="69C63299" w14:textId="77777777" w:rsidR="004E7EFE" w:rsidRPr="004E7EFE" w:rsidRDefault="004E7EFE" w:rsidP="004E7EFE">
      <w:pPr>
        <w:rPr>
          <w:lang w:bidi="ar-EG"/>
        </w:rPr>
      </w:pPr>
      <w:r w:rsidRPr="004E7EFE">
        <w:rPr>
          <w:lang w:bidi="ar-EG"/>
        </w:rPr>
        <w:t>Risks are ranked using technical severity, asset criticality, exposure, access required, business impact, existing controls, evidence confidence, and remediation feasibility — not raw scanner severity alone.</w:t>
      </w:r>
    </w:p>
    <w:p w14:paraId="7390002E" w14:textId="77777777" w:rsidR="004E7EFE" w:rsidRPr="004E7EFE" w:rsidRDefault="004E7EFE" w:rsidP="004E7EFE">
      <w:pPr>
        <w:rPr>
          <w:b/>
          <w:bCs/>
          <w:lang w:bidi="ar-EG"/>
        </w:rPr>
      </w:pPr>
      <w:r w:rsidRPr="004E7EFE">
        <w:rPr>
          <w:b/>
          <w:bCs/>
          <w:lang w:bidi="ar-EG"/>
        </w:rPr>
        <w:t>Top 5 Organizational Risks</w:t>
      </w:r>
    </w:p>
    <w:p w14:paraId="7663D46D" w14:textId="77777777" w:rsidR="004E7EFE" w:rsidRPr="004E7EFE" w:rsidRDefault="004E7EFE" w:rsidP="004E7EFE">
      <w:pPr>
        <w:rPr>
          <w:b/>
          <w:bCs/>
          <w:lang w:bidi="ar-EG"/>
        </w:rPr>
      </w:pPr>
      <w:r w:rsidRPr="004E7EFE">
        <w:rPr>
          <w:b/>
          <w:bCs/>
          <w:lang w:bidi="ar-EG"/>
        </w:rPr>
        <w:t>1. WEB-03 — SQL Injection Authentication Bypass (Critical)</w:t>
      </w:r>
    </w:p>
    <w:p w14:paraId="6ED95334" w14:textId="77777777" w:rsidR="004E7EFE" w:rsidRPr="004E7EFE" w:rsidRDefault="004E7EFE" w:rsidP="004E7EFE">
      <w:pPr>
        <w:rPr>
          <w:lang w:bidi="ar-EG"/>
        </w:rPr>
      </w:pPr>
      <w:r w:rsidRPr="004E7EFE">
        <w:rPr>
          <w:b/>
          <w:bCs/>
          <w:lang w:bidi="ar-EG"/>
        </w:rPr>
        <w:t>Why it ranks #1:</w:t>
      </w:r>
      <w:r w:rsidRPr="004E7EFE">
        <w:rPr>
          <w:lang w:bidi="ar-EG"/>
        </w:rPr>
        <w:t> Requires zero credentials, is reachable from the DMZ/internet-facing side of the business, and grants complete administrative control of the public web application. No existing control currently mitigates it. Highest technical severity combined with the lowest access barrier of any finding.</w:t>
      </w:r>
    </w:p>
    <w:p w14:paraId="2259EA9A" w14:textId="77777777" w:rsidR="004E7EFE" w:rsidRPr="004E7EFE" w:rsidRDefault="004E7EFE" w:rsidP="004E7EFE">
      <w:pPr>
        <w:rPr>
          <w:b/>
          <w:bCs/>
          <w:lang w:bidi="ar-EG"/>
        </w:rPr>
      </w:pPr>
      <w:r w:rsidRPr="004E7EFE">
        <w:rPr>
          <w:b/>
          <w:bCs/>
          <w:lang w:bidi="ar-EG"/>
        </w:rPr>
        <w:t>2. VULN-01 — Firewall Admin Interface Reachable over HTTP (High)</w:t>
      </w:r>
    </w:p>
    <w:p w14:paraId="6E89E165" w14:textId="77777777" w:rsidR="004E7EFE" w:rsidRPr="004E7EFE" w:rsidRDefault="004E7EFE" w:rsidP="004E7EFE">
      <w:pPr>
        <w:rPr>
          <w:lang w:bidi="ar-EG"/>
        </w:rPr>
      </w:pPr>
      <w:r w:rsidRPr="004E7EFE">
        <w:rPr>
          <w:b/>
          <w:bCs/>
          <w:lang w:bidi="ar-EG"/>
        </w:rPr>
        <w:t>Why it ranks #2:</w:t>
      </w:r>
      <w:r w:rsidRPr="004E7EFE">
        <w:rPr>
          <w:lang w:bidi="ar-EG"/>
        </w:rPr>
        <w:t> Compromise of this single control point would compromise the entire network's segmentation and routing. Lower exposure than WEB-03 (internal LAN only, not internet-facing), which is why it ranks below it, but the business impact of losing firewall control is severe.</w:t>
      </w:r>
    </w:p>
    <w:p w14:paraId="3A98DC86" w14:textId="77777777" w:rsidR="004E7EFE" w:rsidRPr="004E7EFE" w:rsidRDefault="004E7EFE" w:rsidP="004E7EFE">
      <w:pPr>
        <w:rPr>
          <w:b/>
          <w:bCs/>
          <w:lang w:bidi="ar-EG"/>
        </w:rPr>
      </w:pPr>
      <w:r w:rsidRPr="004E7EFE">
        <w:rPr>
          <w:b/>
          <w:bCs/>
          <w:lang w:bidi="ar-EG"/>
        </w:rPr>
        <w:t>3. NET-01 — DMZ Not Isolated from Internal LAN (High — Resolved)</w:t>
      </w:r>
    </w:p>
    <w:p w14:paraId="1550CBD6" w14:textId="77777777" w:rsidR="004E7EFE" w:rsidRPr="004E7EFE" w:rsidRDefault="004E7EFE" w:rsidP="004E7EFE">
      <w:pPr>
        <w:rPr>
          <w:lang w:bidi="ar-EG"/>
        </w:rPr>
      </w:pPr>
      <w:r w:rsidRPr="004E7EFE">
        <w:rPr>
          <w:b/>
          <w:bCs/>
          <w:lang w:bidi="ar-EG"/>
        </w:rPr>
        <w:t>Why it ranks #3:</w:t>
      </w:r>
      <w:r w:rsidRPr="004E7EFE">
        <w:rPr>
          <w:lang w:bidi="ar-EG"/>
        </w:rPr>
        <w:t> Combined with WEB-03, this would have allowed a compromised public web server to reach internal systems (SRV) directly, turning a web-app compromise into a full internal breach. Already remediated with verified before/after evidence, but remains high-priority to document because of what it would have enabled if left open during the WEB-03 exposure window.</w:t>
      </w:r>
    </w:p>
    <w:p w14:paraId="57A88B56" w14:textId="77777777" w:rsidR="004E7EFE" w:rsidRPr="004E7EFE" w:rsidRDefault="004E7EFE" w:rsidP="004E7EFE">
      <w:pPr>
        <w:rPr>
          <w:b/>
          <w:bCs/>
          <w:lang w:bidi="ar-EG"/>
        </w:rPr>
      </w:pPr>
      <w:r w:rsidRPr="004E7EFE">
        <w:rPr>
          <w:b/>
          <w:bCs/>
          <w:lang w:bidi="ar-EG"/>
        </w:rPr>
        <w:t>4. DATA-01 — Customer Data Readable by Any Account (High — Resolved)</w:t>
      </w:r>
    </w:p>
    <w:p w14:paraId="77F63DBA" w14:textId="77777777" w:rsidR="004E7EFE" w:rsidRPr="004E7EFE" w:rsidRDefault="004E7EFE" w:rsidP="004E7EFE">
      <w:pPr>
        <w:rPr>
          <w:lang w:bidi="ar-EG"/>
        </w:rPr>
      </w:pPr>
      <w:r w:rsidRPr="004E7EFE">
        <w:rPr>
          <w:b/>
          <w:bCs/>
          <w:lang w:bidi="ar-EG"/>
        </w:rPr>
        <w:t>Why it ranks #4:</w:t>
      </w:r>
      <w:r w:rsidRPr="004E7EFE">
        <w:rPr>
          <w:lang w:bidi="ar-EG"/>
        </w:rPr>
        <w:t> Directly exposed customer PII to any authenticated user regardless of role, violating the business's core data-confidentiality expectation (Policy P-03). Already remediated, ranked below NET-01 because it required at least a valid local account (employee01) rather than being reachable from an untrusted network zone.</w:t>
      </w:r>
    </w:p>
    <w:p w14:paraId="3CAB0075" w14:textId="77777777" w:rsidR="004E7EFE" w:rsidRPr="004E7EFE" w:rsidRDefault="004E7EFE" w:rsidP="004E7EFE">
      <w:pPr>
        <w:rPr>
          <w:b/>
          <w:bCs/>
          <w:lang w:bidi="ar-EG"/>
        </w:rPr>
      </w:pPr>
      <w:r w:rsidRPr="004E7EFE">
        <w:rPr>
          <w:b/>
          <w:bCs/>
          <w:lang w:bidi="ar-EG"/>
        </w:rPr>
        <w:t>5. Phishing exposure targeting Finance (EV-01 / Email &amp; Phishing)</w:t>
      </w:r>
    </w:p>
    <w:p w14:paraId="073D53F6" w14:textId="77777777" w:rsidR="004E7EFE" w:rsidRPr="004E7EFE" w:rsidRDefault="004E7EFE" w:rsidP="004E7EFE">
      <w:pPr>
        <w:rPr>
          <w:lang w:bidi="ar-EG"/>
        </w:rPr>
      </w:pPr>
      <w:r w:rsidRPr="004E7EFE">
        <w:rPr>
          <w:b/>
          <w:bCs/>
          <w:lang w:bidi="ar-EG"/>
        </w:rPr>
        <w:t>Why it ranks #5:</w:t>
      </w:r>
      <w:r w:rsidRPr="004E7EFE">
        <w:rPr>
          <w:lang w:bidi="ar-EG"/>
        </w:rPr>
        <w:t> Scored 100/100 on the phishing indicator scale and specifically targets finance01 — the account with legitimate access to sensitive financial data. Ranked last among the Top 5 not because it is unimportant, but because it depends on human action (an employee clicking the link) rather than being unconditionally exploitable like WEB-03 or VULN-01.</w:t>
      </w:r>
    </w:p>
    <w:p w14:paraId="56CAB478" w14:textId="77777777" w:rsidR="004E7EFE" w:rsidRPr="004E7EFE" w:rsidRDefault="004E7EFE" w:rsidP="004E7EFE">
      <w:pPr>
        <w:rPr>
          <w:b/>
          <w:bCs/>
          <w:lang w:bidi="ar-EG"/>
        </w:rPr>
      </w:pPr>
      <w:r w:rsidRPr="004E7EFE">
        <w:rPr>
          <w:b/>
          <w:bCs/>
          <w:lang w:bidi="ar-EG"/>
        </w:rPr>
        <w:lastRenderedPageBreak/>
        <w:t>Risks Considered but Not in the Top 5</w:t>
      </w:r>
    </w:p>
    <w:p w14:paraId="397A50F6" w14:textId="77777777" w:rsidR="004E7EFE" w:rsidRPr="004E7EFE" w:rsidRDefault="004E7EFE" w:rsidP="004E7EFE">
      <w:pPr>
        <w:numPr>
          <w:ilvl w:val="0"/>
          <w:numId w:val="2"/>
        </w:numPr>
        <w:rPr>
          <w:lang w:bidi="ar-EG"/>
        </w:rPr>
      </w:pPr>
      <w:r w:rsidRPr="004E7EFE">
        <w:rPr>
          <w:b/>
          <w:bCs/>
          <w:lang w:bidi="ar-EG"/>
        </w:rPr>
        <w:t>VULN-02 (DNS service on firewall, Low):</w:t>
      </w:r>
      <w:r w:rsidRPr="004E7EFE">
        <w:rPr>
          <w:lang w:bidi="ar-EG"/>
        </w:rPr>
        <w:t> No evidence of business or security impact beyond minor attack-surface increase; deprioritized in favor of higher-impact findings.</w:t>
      </w:r>
    </w:p>
    <w:p w14:paraId="2480C064" w14:textId="77777777" w:rsidR="004E7EFE" w:rsidRPr="004E7EFE" w:rsidRDefault="004E7EFE" w:rsidP="004E7EFE">
      <w:pPr>
        <w:numPr>
          <w:ilvl w:val="0"/>
          <w:numId w:val="2"/>
        </w:numPr>
        <w:rPr>
          <w:lang w:bidi="ar-EG"/>
        </w:rPr>
      </w:pPr>
      <w:r w:rsidRPr="004E7EFE">
        <w:rPr>
          <w:b/>
          <w:bCs/>
          <w:lang w:bidi="ar-EG"/>
        </w:rPr>
        <w:t>WEB-01 (Information exposure via header, Low):</w:t>
      </w:r>
      <w:r w:rsidRPr="004E7EFE">
        <w:rPr>
          <w:lang w:bidi="ar-EG"/>
        </w:rPr>
        <w:t> Reconnaissance value only, no direct exploitation path identified.</w:t>
      </w:r>
    </w:p>
    <w:p w14:paraId="7A6179B1" w14:textId="77777777" w:rsidR="004E7EFE" w:rsidRPr="004E7EFE" w:rsidRDefault="004E7EFE" w:rsidP="004E7EFE">
      <w:pPr>
        <w:rPr>
          <w:b/>
          <w:bCs/>
          <w:lang w:bidi="ar-EG"/>
        </w:rPr>
      </w:pPr>
      <w:r w:rsidRPr="004E7EFE">
        <w:rPr>
          <w:b/>
          <w:bCs/>
          <w:lang w:bidi="ar-EG"/>
        </w:rPr>
        <w:t>Summary for Management</w:t>
      </w:r>
    </w:p>
    <w:p w14:paraId="08867271" w14:textId="77777777" w:rsidR="004E7EFE" w:rsidRPr="004E7EFE" w:rsidRDefault="004E7EFE" w:rsidP="004E7EFE">
      <w:pPr>
        <w:rPr>
          <w:lang w:bidi="ar-EG"/>
        </w:rPr>
      </w:pPr>
      <w:r w:rsidRPr="004E7EFE">
        <w:rPr>
          <w:lang w:bidi="ar-EG"/>
        </w:rPr>
        <w:t>Of the five most significant risks facing FreshCart, two remain fully open and unaddressed (WEB-03, VULN-01) and require action before the sales campaign launch. Two were identified and fully resolved during this engagement with verified evidence (NET-01, DATA-01). One (phishing exposure) requires a combination of technical and user-awareness controls, since it cannot be fully closed by configuration changes alone.</w:t>
      </w:r>
    </w:p>
    <w:p w14:paraId="336CC6BB" w14:textId="77777777" w:rsidR="000F5879" w:rsidRPr="004E7EFE" w:rsidRDefault="000F5879">
      <w:pPr>
        <w:rPr>
          <w:rFonts w:hint="cs"/>
          <w:lang w:bidi="ar-EG"/>
        </w:rPr>
      </w:pPr>
    </w:p>
    <w:sectPr w:rsidR="000F5879" w:rsidRPr="004E7EFE"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9632F"/>
    <w:multiLevelType w:val="multilevel"/>
    <w:tmpl w:val="76D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F5324B3"/>
    <w:multiLevelType w:val="multilevel"/>
    <w:tmpl w:val="31E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1054397">
    <w:abstractNumId w:val="1"/>
  </w:num>
  <w:num w:numId="2" w16cid:durableId="186779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EFE"/>
    <w:rsid w:val="000F5879"/>
    <w:rsid w:val="002C43EE"/>
    <w:rsid w:val="004E7EFE"/>
    <w:rsid w:val="00793979"/>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ACF7"/>
  <w15:chartTrackingRefBased/>
  <w15:docId w15:val="{17DE9C93-349D-4D05-B2F8-A5FB1376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E7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EFE"/>
    <w:rPr>
      <w:rFonts w:eastAsiaTheme="majorEastAsia" w:cstheme="majorBidi"/>
      <w:color w:val="272727" w:themeColor="text1" w:themeTint="D8"/>
    </w:rPr>
  </w:style>
  <w:style w:type="paragraph" w:styleId="Title">
    <w:name w:val="Title"/>
    <w:basedOn w:val="Normal"/>
    <w:next w:val="Normal"/>
    <w:link w:val="TitleChar"/>
    <w:uiPriority w:val="10"/>
    <w:qFormat/>
    <w:rsid w:val="004E7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EFE"/>
    <w:pPr>
      <w:spacing w:before="160"/>
      <w:jc w:val="center"/>
    </w:pPr>
    <w:rPr>
      <w:i/>
      <w:iCs/>
      <w:color w:val="404040" w:themeColor="text1" w:themeTint="BF"/>
    </w:rPr>
  </w:style>
  <w:style w:type="character" w:customStyle="1" w:styleId="QuoteChar">
    <w:name w:val="Quote Char"/>
    <w:basedOn w:val="DefaultParagraphFont"/>
    <w:link w:val="Quote"/>
    <w:uiPriority w:val="29"/>
    <w:rsid w:val="004E7EFE"/>
    <w:rPr>
      <w:i/>
      <w:iCs/>
      <w:color w:val="404040" w:themeColor="text1" w:themeTint="BF"/>
    </w:rPr>
  </w:style>
  <w:style w:type="paragraph" w:styleId="ListParagraph">
    <w:name w:val="List Paragraph"/>
    <w:basedOn w:val="Normal"/>
    <w:uiPriority w:val="34"/>
    <w:qFormat/>
    <w:rsid w:val="004E7EFE"/>
    <w:pPr>
      <w:ind w:left="720"/>
      <w:contextualSpacing/>
    </w:pPr>
  </w:style>
  <w:style w:type="character" w:styleId="IntenseEmphasis">
    <w:name w:val="Intense Emphasis"/>
    <w:basedOn w:val="DefaultParagraphFont"/>
    <w:uiPriority w:val="21"/>
    <w:qFormat/>
    <w:rsid w:val="004E7EFE"/>
    <w:rPr>
      <w:i/>
      <w:iCs/>
      <w:color w:val="0F4761" w:themeColor="accent1" w:themeShade="BF"/>
    </w:rPr>
  </w:style>
  <w:style w:type="paragraph" w:styleId="IntenseQuote">
    <w:name w:val="Intense Quote"/>
    <w:basedOn w:val="Normal"/>
    <w:next w:val="Normal"/>
    <w:link w:val="IntenseQuoteChar"/>
    <w:uiPriority w:val="30"/>
    <w:qFormat/>
    <w:rsid w:val="004E7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EFE"/>
    <w:rPr>
      <w:i/>
      <w:iCs/>
      <w:color w:val="0F4761" w:themeColor="accent1" w:themeShade="BF"/>
    </w:rPr>
  </w:style>
  <w:style w:type="character" w:styleId="IntenseReference">
    <w:name w:val="Intense Reference"/>
    <w:basedOn w:val="DefaultParagraphFont"/>
    <w:uiPriority w:val="32"/>
    <w:qFormat/>
    <w:rsid w:val="004E7E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1</cp:revision>
  <dcterms:created xsi:type="dcterms:W3CDTF">2026-08-16T00:20:00Z</dcterms:created>
  <dcterms:modified xsi:type="dcterms:W3CDTF">2026-08-16T00:20:00Z</dcterms:modified>
</cp:coreProperties>
</file>