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Vulnerability Management — Validation of Findings</w:t>
      </w:r>
    </w:p>
    <w:p>
      <w:r>
        <w:rPr>
          <w:b/>
          <w:color w:val="0F6E56"/>
          <w:sz w:val="20"/>
        </w:rPr>
        <w:t>Owner: Team — Vulnerability Management</w:t>
      </w:r>
    </w:p>
    <w:p/>
    <w:p>
      <w:r>
        <w:t>Rather than reporting raw Nmap scan output directly, each open port discovered (08_Vulnerability_Management/Scans) was cross-checked against its intended business purpose before being added to the Vulnerability Register. This validation step is what separates a scanner result from a confirmed finding.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F6E56"/>
          </w:tcPr>
          <w:p>
            <w:r/>
            <w:r>
              <w:rPr>
                <w:b/>
                <w:color w:val="FFFFFF"/>
              </w:rPr>
              <w:t>Host : Port</w:t>
            </w:r>
          </w:p>
        </w:tc>
        <w:tc>
          <w:tcPr>
            <w:tcW w:type="dxa" w:w="2880"/>
            <w:shd w:val="clear" w:color="auto" w:fill="0F6E56"/>
          </w:tcPr>
          <w:p>
            <w:r/>
            <w:r>
              <w:rPr>
                <w:b/>
                <w:color w:val="FFFFFF"/>
              </w:rPr>
              <w:t>Expected / Not Expected</w:t>
            </w:r>
          </w:p>
        </w:tc>
        <w:tc>
          <w:tcPr>
            <w:tcW w:type="dxa" w:w="2880"/>
            <w:shd w:val="clear" w:color="auto" w:fill="0F6E56"/>
          </w:tcPr>
          <w:p>
            <w:r/>
            <w:r>
              <w:rPr>
                <w:b/>
                <w:color w:val="FFFFFF"/>
              </w:rPr>
              <w:t>Validation Reasoning</w:t>
            </w:r>
          </w:p>
        </w:tc>
      </w:tr>
      <w:tr>
        <w:tc>
          <w:tcPr>
            <w:tcW w:type="dxa" w:w="2880"/>
          </w:tcPr>
          <w:p>
            <w:r>
              <w:t>FreshCart-WEB : 3000/tcp</w:t>
            </w:r>
          </w:p>
        </w:tc>
        <w:tc>
          <w:tcPr>
            <w:tcW w:type="dxa" w:w="2880"/>
          </w:tcPr>
          <w:p>
            <w:r>
              <w:t>Expected</w:t>
            </w:r>
          </w:p>
        </w:tc>
        <w:tc>
          <w:tcPr>
            <w:tcW w:type="dxa" w:w="2880"/>
          </w:tcPr>
          <w:p>
            <w:r>
              <w:t>This is the public Juice Shop service the DMZ host exists to run — required, not a finding.</w:t>
            </w:r>
          </w:p>
        </w:tc>
      </w:tr>
      <w:tr>
        <w:tc>
          <w:tcPr>
            <w:tcW w:type="dxa" w:w="2880"/>
          </w:tcPr>
          <w:p>
            <w:r>
              <w:t>FreshCart-SRV : 22/tcp</w:t>
            </w:r>
          </w:p>
        </w:tc>
        <w:tc>
          <w:tcPr>
            <w:tcW w:type="dxa" w:w="2880"/>
          </w:tcPr>
          <w:p>
            <w:r>
              <w:t>Expected</w:t>
            </w:r>
          </w:p>
        </w:tc>
        <w:tc>
          <w:tcPr>
            <w:tcW w:type="dxa" w:w="2880"/>
          </w:tcPr>
          <w:p>
            <w:r>
              <w:t>This is the SSH service deliberately enabled as the legitimate access method for company data (see Data Security section) — required, not a finding.</w:t>
            </w:r>
          </w:p>
        </w:tc>
      </w:tr>
      <w:tr>
        <w:tc>
          <w:tcPr>
            <w:tcW w:type="dxa" w:w="2880"/>
          </w:tcPr>
          <w:p>
            <w:r>
              <w:t>FreshCart-FW : 443/tcp</w:t>
            </w:r>
          </w:p>
        </w:tc>
        <w:tc>
          <w:tcPr>
            <w:tcW w:type="dxa" w:w="2880"/>
          </w:tcPr>
          <w:p>
            <w:r>
              <w:t>Expected</w:t>
            </w:r>
          </w:p>
        </w:tc>
        <w:tc>
          <w:tcPr>
            <w:tcW w:type="dxa" w:w="2880"/>
          </w:tcPr>
          <w:p>
            <w:r>
              <w:t>This is the pfSense administrative HTTPS interface, needed for firewall management — required, not a finding.</w:t>
            </w:r>
          </w:p>
        </w:tc>
      </w:tr>
      <w:tr>
        <w:tc>
          <w:tcPr>
            <w:tcW w:type="dxa" w:w="2880"/>
          </w:tcPr>
          <w:p>
            <w:r>
              <w:t>FreshCart-FW : 80/tcp</w:t>
            </w:r>
          </w:p>
        </w:tc>
        <w:tc>
          <w:tcPr>
            <w:tcW w:type="dxa" w:w="2880"/>
          </w:tcPr>
          <w:p>
            <w:r>
              <w:t>Not expected</w:t>
            </w:r>
          </w:p>
        </w:tc>
        <w:tc>
          <w:tcPr>
            <w:tcW w:type="dxa" w:w="2880"/>
          </w:tcPr>
          <w:p>
            <w:r>
              <w:t>HTTP administrative access is typically only used to redirect to HTTPS, but its presence here means the admin interface is reachable unencrypted from the internal LAN → validated as VULN-01.</w:t>
            </w:r>
          </w:p>
        </w:tc>
      </w:tr>
      <w:tr>
        <w:tc>
          <w:tcPr>
            <w:tcW w:type="dxa" w:w="2880"/>
          </w:tcPr>
          <w:p>
            <w:r>
              <w:t>FreshCart-FW : 53/tcp</w:t>
            </w:r>
          </w:p>
        </w:tc>
        <w:tc>
          <w:tcPr>
            <w:tcW w:type="dxa" w:w="2880"/>
          </w:tcPr>
          <w:p>
            <w:r>
              <w:t>Not confirmed</w:t>
            </w:r>
          </w:p>
        </w:tc>
        <w:tc>
          <w:tcPr>
            <w:tcW w:type="dxa" w:w="2880"/>
          </w:tcPr>
          <w:p>
            <w:r>
              <w:t>Plausible as an internal DNS resolver for LAN hosts, but was not a documented design requirement and warrants confirmation → validated as VULN-02 (Low, pending confirmation).</w:t>
            </w:r>
          </w:p>
        </w:tc>
      </w:tr>
    </w:tbl>
    <w:p/>
    <w:p>
      <w:r>
        <w:t>Only the two ports without a documented business justification (FW:80, FW:53) were carried forward into the Vulnerability Register as VULN-01 and VULN-02. The three expected, justified services (WEB:3000, SRV:22, FW:443) were validated and excluded from the register, preventing over-reporting of normal, required functionality as if it were a vulnerability.</w:t>
      </w:r>
    </w:p>
    <w:p/>
    <w:p>
      <w:r>
        <w:t>Full register, severity ratings, and prioritization rationale: 08_Vulnerability_Management/Risk_Register/Vulnerability Management.docx (Sections 3–4).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