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Incident Response / SOC — Containment, Recovery, and Final Conclusion</w:t>
      </w:r>
    </w:p>
    <w:p>
      <w:r>
        <w:rPr>
          <w:b/>
          <w:color w:val="0F6E56"/>
          <w:sz w:val="20"/>
        </w:rPr>
        <w:t>Owner: Ibrahim Helmy (230105665) — Incident Response / SOC</w:t>
      </w:r>
    </w:p>
    <w:p/>
    <w:p>
      <w:r>
        <w:rPr>
          <w:b/>
          <w:color w:val="0F6E56"/>
          <w:sz w:val="24"/>
        </w:rPr>
        <w:t>1. Most Plausible Explanation (Stated as Hypothesis, Not Fact)</w:t>
      </w:r>
    </w:p>
    <w:p>
      <w:r>
        <w:t>Based on available evidence, the most consistent explanation is that an attacker sent the phishing email (EV-01) attempting to harvest finance01's credentials. If finance01 or another employee interacted with it, this could explain the reported failed/successful login pattern. Separately and independently, the environment had two structural weaknesses — the DMZ/LAN segmentation gap (EV-05) and the Juice Shop authentication bypass (EV-06) — that, if exploited, could also explain unauthorized access to internal systems through a completely different path. The evidence does not allow the team to determine with confidence which path (if either) was actually used, and it is equally plausible that these are two unrelated weaknesses discovered independently rather than a single connected attack chain. This is a deliberate and expected outcome of the investigation — not every suspicious event has to belong to one story.</w:t>
      </w:r>
    </w:p>
    <w:p/>
    <w:p>
      <w:r>
        <w:rPr>
          <w:b/>
          <w:color w:val="0F6E56"/>
          <w:sz w:val="24"/>
        </w:rPr>
        <w:t>2. Containment and Recovery Recommendations</w:t>
      </w:r>
    </w:p>
    <w:p>
      <w:r>
        <w:t>Immediate:</w:t>
      </w:r>
    </w:p>
    <w:p>
      <w:pPr>
        <w:pStyle w:val="ListBullet"/>
      </w:pPr>
      <w:r>
        <w:t>Reset finance01's password as a precaution, given the targeted phishing attempt (EV-01), regardless of whether compromise is confirmed.</w:t>
      </w:r>
    </w:p>
    <w:p>
      <w:pPr>
        <w:pStyle w:val="ListBullet"/>
      </w:pPr>
      <w:r>
        <w:t>Treat WEB-03 (SQL injection) as the highest-priority open item — it is the most severe, most exploitable, and least dependent on user behavior of all findings.</w:t>
      </w:r>
    </w:p>
    <w:p/>
    <w:p>
      <w:r>
        <w:t>Short-term:</w:t>
      </w:r>
    </w:p>
    <w:p>
      <w:pPr>
        <w:pStyle w:val="ListBullet"/>
      </w:pPr>
      <w:r>
        <w:t>Maintain the newly enabled PC01 auditing (EV-04 fix) and extend equivalent logging to FreshCart-SRV and FreshCart-WEB if not already sufficient, so a future incident of this type can be fully reconstructed.</w:t>
      </w:r>
    </w:p>
    <w:p>
      <w:pPr>
        <w:pStyle w:val="ListBullet"/>
      </w:pPr>
      <w:r>
        <w:t>Retain the DMZ/LAN firewall restriction (NET-01 fix) as a permanent control, not a temporary one.</w:t>
      </w:r>
    </w:p>
    <w:p/>
    <w:p>
      <w:r>
        <w:t>Detection improvements for the future:</w:t>
      </w:r>
    </w:p>
    <w:p>
      <w:pPr>
        <w:pStyle w:val="ListBullet"/>
      </w:pPr>
      <w:r>
        <w:t>Establish integrity baselines (hashes) for all critical business files proactively, not only as a reactive test, so future unauthorized modifications can be detected immediately rather than assumed.</w:t>
      </w:r>
    </w:p>
    <w:p>
      <w:pPr>
        <w:pStyle w:val="ListBullet"/>
      </w:pPr>
      <w:r>
        <w:t>Configure email filtering to flag lookalike domains (e.g., freshcart-secure.com vs. freshcart.local) as identified in the Email &amp; Phishing analysis.</w:t>
      </w:r>
    </w:p>
    <w:p/>
    <w:p>
      <w:r>
        <w:rPr>
          <w:b/>
          <w:color w:val="0F6E56"/>
          <w:sz w:val="24"/>
        </w:rPr>
        <w:t>3. Final Incident Conclusion</w:t>
      </w:r>
    </w:p>
    <w:p>
      <w:r>
        <w:t>This investigation confirms that FreshCart faced at least one credible phishing attempt and had two independently confirmed technical weaknesses (DMZ segmentation, web application authentication bypass) that have since been addressed or documented for remediation. However, the evidence available does not support a confident, single-narrative conclusion that a specific breach occurred through a specific path. The team recommends treating this as a near-miss requiring hardening, prioritizing the still-open Critical and High findings (WEB-03, VULN-01), while acknowledging the investigation's limitations documented in the Analysis section (Section 4: What Is Known vs.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