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Incident Response / SOC — Evidence Index and Reconstructed Timeline</w:t>
      </w:r>
    </w:p>
    <w:p>
      <w:r>
        <w:rPr>
          <w:b/>
          <w:color w:val="0F6E56"/>
          <w:sz w:val="20"/>
        </w:rPr>
        <w:t>Owner: Ibrahim Helmy (230105665) — Incident Response / SOC</w:t>
      </w:r>
    </w:p>
    <w:p/>
    <w:p>
      <w:r>
        <w:rPr>
          <w:b/>
          <w:color w:val="0F6E56"/>
          <w:sz w:val="24"/>
        </w:rPr>
        <w:t>1. Evidence Index</w:t>
      </w:r>
    </w:p>
    <w:tbl>
      <w:tblPr>
        <w:tblW w:type="auto" w:w="0"/>
        <w:tblLook w:firstColumn="1" w:firstRow="1" w:lastColumn="0" w:lastRow="0" w:noHBand="0" w:noVBand="1" w:val="04A0"/>
      </w:tblPr>
      <w:tblGrid>
        <w:gridCol w:w="2880"/>
        <w:gridCol w:w="2880"/>
        <w:gridCol w:w="2880"/>
      </w:tblGrid>
      <w:tr>
        <w:tc>
          <w:tcPr>
            <w:tcW w:type="dxa" w:w="2880"/>
            <w:shd w:val="clear" w:color="auto" w:fill="0F6E56"/>
          </w:tcPr>
          <w:p>
            <w:r/>
            <w:r>
              <w:rPr>
                <w:b/>
                <w:color w:val="FFFFFF"/>
              </w:rPr>
              <w:t>Evidence ID</w:t>
            </w:r>
          </w:p>
        </w:tc>
        <w:tc>
          <w:tcPr>
            <w:tcW w:type="dxa" w:w="2880"/>
            <w:shd w:val="clear" w:color="auto" w:fill="0F6E56"/>
          </w:tcPr>
          <w:p>
            <w:r/>
            <w:r>
              <w:rPr>
                <w:b/>
                <w:color w:val="FFFFFF"/>
              </w:rPr>
              <w:t>Source</w:t>
            </w:r>
          </w:p>
        </w:tc>
        <w:tc>
          <w:tcPr>
            <w:tcW w:type="dxa" w:w="2880"/>
            <w:shd w:val="clear" w:color="auto" w:fill="0F6E56"/>
          </w:tcPr>
          <w:p>
            <w:r/>
            <w:r>
              <w:rPr>
                <w:b/>
                <w:color w:val="FFFFFF"/>
              </w:rPr>
              <w:t>Description</w:t>
            </w:r>
          </w:p>
        </w:tc>
      </w:tr>
      <w:tr>
        <w:tc>
          <w:tcPr>
            <w:tcW w:type="dxa" w:w="2880"/>
          </w:tcPr>
          <w:p>
            <w:r>
              <w:t>EV-01</w:t>
            </w:r>
          </w:p>
        </w:tc>
        <w:tc>
          <w:tcPr>
            <w:tcW w:type="dxa" w:w="2880"/>
          </w:tcPr>
          <w:p>
            <w:r>
              <w:t>Email &amp; Phishing</w:t>
            </w:r>
          </w:p>
        </w:tc>
        <w:tc>
          <w:tcPr>
            <w:tcW w:type="dxa" w:w="2880"/>
          </w:tcPr>
          <w:p>
            <w:r>
              <w:t>Suspicious “password expiration” email sent to finance01, from lookalike domain freshcart-secure.com, scored 100/100 on the phishing scale</w:t>
            </w:r>
          </w:p>
        </w:tc>
      </w:tr>
      <w:tr>
        <w:tc>
          <w:tcPr>
            <w:tcW w:type="dxa" w:w="2880"/>
          </w:tcPr>
          <w:p>
            <w:r>
              <w:t>EV-02</w:t>
            </w:r>
          </w:p>
        </w:tc>
        <w:tc>
          <w:tcPr>
            <w:tcW w:type="dxa" w:w="2880"/>
          </w:tcPr>
          <w:p>
            <w:r>
              <w:t>IAM</w:t>
            </w:r>
          </w:p>
        </w:tc>
        <w:tc>
          <w:tcPr>
            <w:tcW w:type="dxa" w:w="2880"/>
          </w:tcPr>
          <w:p>
            <w:r>
              <w:t>finance01 has valid, working credentials and legitimate access to /company/finance</w:t>
            </w:r>
          </w:p>
        </w:tc>
      </w:tr>
      <w:tr>
        <w:tc>
          <w:tcPr>
            <w:tcW w:type="dxa" w:w="2880"/>
          </w:tcPr>
          <w:p>
            <w:r>
              <w:t>EV-03</w:t>
            </w:r>
          </w:p>
        </w:tc>
        <w:tc>
          <w:tcPr>
            <w:tcW w:type="dxa" w:w="2880"/>
          </w:tcPr>
          <w:p>
            <w:r>
              <w:t>Data Security</w:t>
            </w:r>
          </w:p>
        </w:tc>
        <w:tc>
          <w:tcPr>
            <w:tcW w:type="dxa" w:w="2880"/>
          </w:tcPr>
          <w:p>
            <w:r>
              <w:t>/company/finance/monthly_sales.csv integrity baseline established and controlled change detected via SHA-256 hash comparison</w:t>
            </w:r>
          </w:p>
        </w:tc>
      </w:tr>
      <w:tr>
        <w:tc>
          <w:tcPr>
            <w:tcW w:type="dxa" w:w="2880"/>
          </w:tcPr>
          <w:p>
            <w:r>
              <w:t>EV-04</w:t>
            </w:r>
          </w:p>
        </w:tc>
        <w:tc>
          <w:tcPr>
            <w:tcW w:type="dxa" w:w="2880"/>
          </w:tcPr>
          <w:p>
            <w:r>
              <w:t>Endpoint</w:t>
            </w:r>
          </w:p>
        </w:tc>
        <w:tc>
          <w:tcPr>
            <w:tcW w:type="dxa" w:w="2880"/>
          </w:tcPr>
          <w:p>
            <w:r>
              <w:t>PC01 auditing (Logon/Logoff) was found disabled by default prior to remediation; enabled during Endpoint testing</w:t>
            </w:r>
          </w:p>
        </w:tc>
      </w:tr>
      <w:tr>
        <w:tc>
          <w:tcPr>
            <w:tcW w:type="dxa" w:w="2880"/>
          </w:tcPr>
          <w:p>
            <w:r>
              <w:t>EV-05</w:t>
            </w:r>
          </w:p>
        </w:tc>
        <w:tc>
          <w:tcPr>
            <w:tcW w:type="dxa" w:w="2880"/>
          </w:tcPr>
          <w:p>
            <w:r>
              <w:t>Network</w:t>
            </w:r>
          </w:p>
        </w:tc>
        <w:tc>
          <w:tcPr>
            <w:tcW w:type="dxa" w:w="2880"/>
          </w:tcPr>
          <w:p>
            <w:r>
              <w:t>DMZ-to-Internal LAN traffic was unrestricted prior to remediation (NET-01)</w:t>
            </w:r>
          </w:p>
        </w:tc>
      </w:tr>
      <w:tr>
        <w:tc>
          <w:tcPr>
            <w:tcW w:type="dxa" w:w="2880"/>
          </w:tcPr>
          <w:p>
            <w:r>
              <w:t>EV-06</w:t>
            </w:r>
          </w:p>
        </w:tc>
        <w:tc>
          <w:tcPr>
            <w:tcW w:type="dxa" w:w="2880"/>
          </w:tcPr>
          <w:p>
            <w:r>
              <w:t>Web Application</w:t>
            </w:r>
          </w:p>
        </w:tc>
        <w:tc>
          <w:tcPr>
            <w:tcW w:type="dxa" w:w="2880"/>
          </w:tcPr>
          <w:p>
            <w:r>
              <w:t>Juice Shop login is vulnerable to SQL injection, allowing authentication bypass without credentials (WEB-03)</w:t>
            </w:r>
          </w:p>
        </w:tc>
      </w:tr>
      <w:tr>
        <w:tc>
          <w:tcPr>
            <w:tcW w:type="dxa" w:w="2880"/>
          </w:tcPr>
          <w:p>
            <w:r>
              <w:t>EV-07</w:t>
            </w:r>
          </w:p>
        </w:tc>
        <w:tc>
          <w:tcPr>
            <w:tcW w:type="dxa" w:w="2880"/>
          </w:tcPr>
          <w:p>
            <w:r>
              <w:t>Vulnerability Management</w:t>
            </w:r>
          </w:p>
        </w:tc>
        <w:tc>
          <w:tcPr>
            <w:tcW w:type="dxa" w:w="2880"/>
          </w:tcPr>
          <w:p>
            <w:r>
              <w:t>Firewall admin interface reachable over unencrypted HTTP on the internal LAN (VULN-01)</w:t>
            </w:r>
          </w:p>
        </w:tc>
      </w:tr>
      <w:tr>
        <w:tc>
          <w:tcPr>
            <w:tcW w:type="dxa" w:w="2880"/>
          </w:tcPr>
          <w:p>
            <w:r>
              <w:t>EV-08</w:t>
            </w:r>
          </w:p>
        </w:tc>
        <w:tc>
          <w:tcPr>
            <w:tcW w:type="dxa" w:w="2880"/>
          </w:tcPr>
          <w:p>
            <w:r>
              <w:t>SOC / Incident Simulation</w:t>
            </w:r>
          </w:p>
        </w:tc>
        <w:tc>
          <w:tcPr>
            <w:tcW w:type="dxa" w:w="2880"/>
          </w:tcPr>
          <w:p>
            <w:r>
              <w:t>/var/log/auth.log on FreshCart-SRV: 4 failed SSH authentication attempts for finance01 (2026-08-16 00:39:28 - 00:41:58 UTC), followed by one successful login (00:42:04 UTC) from 127.0.0.1, session opened and later closed at 00:45:12 UTC</w:t>
            </w:r>
          </w:p>
        </w:tc>
      </w:tr>
      <w:tr>
        <w:tc>
          <w:tcPr>
            <w:tcW w:type="dxa" w:w="2880"/>
          </w:tcPr>
          <w:p>
            <w:r>
              <w:t>EV-09</w:t>
            </w:r>
          </w:p>
        </w:tc>
        <w:tc>
          <w:tcPr>
            <w:tcW w:type="dxa" w:w="2880"/>
          </w:tcPr>
          <w:p>
            <w:r>
              <w:t>SOC / Incident Simulation</w:t>
            </w:r>
          </w:p>
        </w:tc>
        <w:tc>
          <w:tcPr>
            <w:tcW w:type="dxa" w:w="2880"/>
          </w:tcPr>
          <w:p>
            <w:r>
              <w:t>/company/finance/monthly_sales.csv modified by finance01 during the authenticated session (00:44 UTC): a new line was appended, confirmed by direct file content comparison before/after</w:t>
            </w:r>
          </w:p>
        </w:tc>
      </w:tr>
    </w:tbl>
    <w:p/>
    <w:p>
      <w:r>
        <w:rPr>
          <w:b/>
          <w:color w:val="0F6E56"/>
          <w:sz w:val="24"/>
        </w:rPr>
        <w:t>2. Reconstructed Timeline</w:t>
      </w:r>
    </w:p>
    <w:p>
      <w:r>
        <w:t>This timeline combines the original incident scenario (email, failed logins, successful login, file modification) with the controlled simulation performed to generate matching, timestamped evidence.</w:t>
      </w:r>
    </w:p>
    <w:p/>
    <w:tbl>
      <w:tblPr>
        <w:tblW w:type="auto" w:w="0"/>
        <w:tblLook w:firstColumn="1" w:firstRow="1" w:lastColumn="0" w:lastRow="0" w:noHBand="0" w:noVBand="1" w:val="04A0"/>
      </w:tblPr>
      <w:tblGrid>
        <w:gridCol w:w="2160"/>
        <w:gridCol w:w="2160"/>
        <w:gridCol w:w="2160"/>
        <w:gridCol w:w="2160"/>
      </w:tblGrid>
      <w:tr>
        <w:tc>
          <w:tcPr>
            <w:tcW w:type="dxa" w:w="2160"/>
            <w:shd w:val="clear" w:color="auto" w:fill="0F6E56"/>
          </w:tcPr>
          <w:p>
            <w:r/>
            <w:r>
              <w:rPr>
                <w:b/>
                <w:color w:val="FFFFFF"/>
              </w:rPr>
              <w:t>Time (UTC)</w:t>
            </w:r>
          </w:p>
        </w:tc>
        <w:tc>
          <w:tcPr>
            <w:tcW w:type="dxa" w:w="2160"/>
            <w:shd w:val="clear" w:color="auto" w:fill="0F6E56"/>
          </w:tcPr>
          <w:p>
            <w:r/>
            <w:r>
              <w:rPr>
                <w:b/>
                <w:color w:val="FFFFFF"/>
              </w:rPr>
              <w:t>Event</w:t>
            </w:r>
          </w:p>
        </w:tc>
        <w:tc>
          <w:tcPr>
            <w:tcW w:type="dxa" w:w="2160"/>
            <w:shd w:val="clear" w:color="auto" w:fill="0F6E56"/>
          </w:tcPr>
          <w:p>
            <w:r/>
            <w:r>
              <w:rPr>
                <w:b/>
                <w:color w:val="FFFFFF"/>
              </w:rPr>
              <w:t>Evidence</w:t>
            </w:r>
          </w:p>
        </w:tc>
        <w:tc>
          <w:tcPr>
            <w:tcW w:type="dxa" w:w="2160"/>
            <w:shd w:val="clear" w:color="auto" w:fill="0F6E56"/>
          </w:tcPr>
          <w:p>
            <w:r/>
            <w:r>
              <w:rPr>
                <w:b/>
                <w:color w:val="FFFFFF"/>
              </w:rPr>
              <w:t>Confidence</w:t>
            </w:r>
          </w:p>
        </w:tc>
      </w:tr>
      <w:tr>
        <w:tc>
          <w:tcPr>
            <w:tcW w:type="dxa" w:w="2160"/>
          </w:tcPr>
          <w:p>
            <w:r>
              <w:t>Scenario context</w:t>
            </w:r>
          </w:p>
        </w:tc>
        <w:tc>
          <w:tcPr>
            <w:tcW w:type="dxa" w:w="2160"/>
          </w:tcPr>
          <w:p>
            <w:r>
              <w:t>Phishing email sent to finance01, impersonating IT, requesting credential “verification” via external link</w:t>
            </w:r>
          </w:p>
        </w:tc>
        <w:tc>
          <w:tcPr>
            <w:tcW w:type="dxa" w:w="2160"/>
          </w:tcPr>
          <w:p>
            <w:r>
              <w:t>EV-01</w:t>
            </w:r>
          </w:p>
        </w:tc>
        <w:tc>
          <w:tcPr>
            <w:tcW w:type="dxa" w:w="2160"/>
          </w:tcPr>
          <w:p>
            <w:r>
              <w:t>Confirmed — message content and indicators directly observed</w:t>
            </w:r>
          </w:p>
        </w:tc>
      </w:tr>
      <w:tr>
        <w:tc>
          <w:tcPr>
            <w:tcW w:type="dxa" w:w="2160"/>
          </w:tcPr>
          <w:p>
            <w:r>
              <w:t>00:39:28 – 00:41:58</w:t>
            </w:r>
          </w:p>
        </w:tc>
        <w:tc>
          <w:tcPr>
            <w:tcW w:type="dxa" w:w="2160"/>
          </w:tcPr>
          <w:p>
            <w:r>
              <w:t>Four failed SSH authentication attempts against finance01's account, source 127.0.0.1</w:t>
            </w:r>
          </w:p>
        </w:tc>
        <w:tc>
          <w:tcPr>
            <w:tcW w:type="dxa" w:w="2160"/>
          </w:tcPr>
          <w:p>
            <w:r>
              <w:t>EV-08 (auth.log)</w:t>
            </w:r>
          </w:p>
        </w:tc>
        <w:tc>
          <w:tcPr>
            <w:tcW w:type="dxa" w:w="2160"/>
          </w:tcPr>
          <w:p>
            <w:r>
              <w:t>Confirmed — directly captured with exact timestamps</w:t>
            </w:r>
          </w:p>
        </w:tc>
      </w:tr>
      <w:tr>
        <w:tc>
          <w:tcPr>
            <w:tcW w:type="dxa" w:w="2160"/>
          </w:tcPr>
          <w:p>
            <w:r>
              <w:t>00:42:04</w:t>
            </w:r>
          </w:p>
        </w:tc>
        <w:tc>
          <w:tcPr>
            <w:tcW w:type="dxa" w:w="2160"/>
          </w:tcPr>
          <w:p>
            <w:r>
              <w:t>Successful SSH login as finance01, session opened</w:t>
            </w:r>
          </w:p>
        </w:tc>
        <w:tc>
          <w:tcPr>
            <w:tcW w:type="dxa" w:w="2160"/>
          </w:tcPr>
          <w:p>
            <w:r>
              <w:t>EV-08 (auth.log)</w:t>
            </w:r>
          </w:p>
        </w:tc>
        <w:tc>
          <w:tcPr>
            <w:tcW w:type="dxa" w:w="2160"/>
          </w:tcPr>
          <w:p>
            <w:r>
              <w:t>Confirmed — directly captured, immediately follows the failed attempts</w:t>
            </w:r>
          </w:p>
        </w:tc>
      </w:tr>
      <w:tr>
        <w:tc>
          <w:tcPr>
            <w:tcW w:type="dxa" w:w="2160"/>
          </w:tcPr>
          <w:p>
            <w:r>
              <w:t>00:44 (within session)</w:t>
            </w:r>
          </w:p>
        </w:tc>
        <w:tc>
          <w:tcPr>
            <w:tcW w:type="dxa" w:w="2160"/>
          </w:tcPr>
          <w:p>
            <w:r>
              <w:t>/company/finance/monthly_sales.csv modified — new line appended</w:t>
            </w:r>
          </w:p>
        </w:tc>
        <w:tc>
          <w:tcPr>
            <w:tcW w:type="dxa" w:w="2160"/>
          </w:tcPr>
          <w:p>
            <w:r>
              <w:t>EV-09 (file content), EV-03 (hash method)</w:t>
            </w:r>
          </w:p>
        </w:tc>
        <w:tc>
          <w:tcPr>
            <w:tcW w:type="dxa" w:w="2160"/>
          </w:tcPr>
          <w:p>
            <w:r>
              <w:t>Confirmed — directly observed via before/after file comparison during the same authenticated session that followed the failed-then-successful login pattern</w:t>
            </w:r>
          </w:p>
        </w:tc>
      </w:tr>
      <w:tr>
        <w:tc>
          <w:tcPr>
            <w:tcW w:type="dxa" w:w="2160"/>
          </w:tcPr>
          <w:p>
            <w:r>
              <w:t>00:45:12</w:t>
            </w:r>
          </w:p>
        </w:tc>
        <w:tc>
          <w:tcPr>
            <w:tcW w:type="dxa" w:w="2160"/>
          </w:tcPr>
          <w:p>
            <w:r>
              <w:t>Session closed</w:t>
            </w:r>
          </w:p>
        </w:tc>
        <w:tc>
          <w:tcPr>
            <w:tcW w:type="dxa" w:w="2160"/>
          </w:tcPr>
          <w:p>
            <w:r>
              <w:t>EV-08 (auth.log)</w:t>
            </w:r>
          </w:p>
        </w:tc>
        <w:tc>
          <w:tcPr>
            <w:tcW w:type="dxa" w:w="2160"/>
          </w:tcPr>
          <w:p>
            <w:r>
              <w:t>Confirmed</w:t>
            </w:r>
          </w:p>
        </w:tc>
      </w:tr>
    </w:tbl>
    <w:p/>
    <w:p>
      <w:r>
        <w:t>Important scope note: The failed-login-to-success-to-file-modification sequence above was performed as a controlled, authorized simulation (per Section 13 of the project brief) to produce realistic, correlated log evidence for this investigation — it was not a live, uncontrolled attack. The source (127.0.0.1 / localhost) reflects this controlled setup rather than an external attacker's real network position. This distinction matters: the simulation demonstrates that FreshCart's logging would capture this exact sequence if it occurred maliciously, and gives the SOC a template for what a real matching event would look like in the logs.</w:t>
      </w:r>
    </w:p>
    <w:p/>
    <w:p>
      <w:r>
        <w:rPr>
          <w:b/>
          <w:color w:val="0F6E56"/>
          <w:sz w:val="24"/>
        </w:rPr>
        <w:t>3. Applying This Evidence to the Original Incident Scenario</w:t>
      </w:r>
    </w:p>
    <w:p>
      <w:r>
        <w:t>The original incident scenario (reported before this simulation) described the same event pattern — failed logins, an unexpected successful login, and a modified sensitive file — but without a reliable timestamped log trail, since PC01 auditing was disabled at the time (EV-04) and no file integrity baseline existed prior to EV-03 being established during this engagement. The simulation above demonstrates that, going forward, this exact pattern is now fully observable and attributable. It does not retroactively prove what caused the originally reported events — see the Analysis document (10_SOC_Incident_Response/Analysis) Section 4 for what remains genuinely unknown about the original 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