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Creative / Self-Study Contribution: Weighted Risk Prioritization Model</w:t>
      </w:r>
    </w:p>
    <w:p>
      <w:r>
        <w:rPr>
          <w:b/>
          <w:color w:val="0F6E56"/>
          <w:sz w:val="20"/>
        </w:rPr>
        <w:t>Owner: Team — Vulnerability Management (second creative/self-study contribution; see also Creative.docx for the primary contribution, Automated Phishing Risk Scorer)</w:t>
      </w:r>
    </w:p>
    <w:p/>
    <w:p>
      <w:r>
        <w:rPr>
          <w:b/>
          <w:color w:val="0F6E56"/>
          <w:sz w:val="24"/>
        </w:rPr>
        <w:t>1. What Problem It Solves</w:t>
      </w:r>
    </w:p>
    <w:p>
      <w:r>
        <w:t>The Central Risk Register (08_Vulnerability_Management/Risk_Register/Organization.docx) ranked the Top 5 organizational risks using a qualitative discussion of severity, exposure, access required, and business impact. That reasoning is sound, but it depends entirely on one reviewer's judgment call and cannot be re-run consistently if new findings are added later. This contribution converts that qualitative reasoning into a small, reusable Python script (risk_prioritization_scorer.py) that scores each finding 1–5 on four weighted factors and outputs a transparent, reproducible 0–100 ranking — so any team member can re-rank the register the same way after adding a new finding, without re-debating priority from scratch.</w:t>
      </w:r>
    </w:p>
    <w:p/>
    <w:p>
      <w:r>
        <w:rPr>
          <w:b/>
          <w:color w:val="0F6E56"/>
          <w:sz w:val="24"/>
        </w:rPr>
        <w:t>2. What Had to Be Learned Independently</w:t>
      </w:r>
    </w:p>
    <w:p>
      <w:pPr>
        <w:pStyle w:val="ListBullet"/>
      </w:pPr>
      <w:r>
        <w:t>How to design a defensible weighting scheme: severity alone is not enough, so the model follows the same four factors the project brief lists for organization-level prioritization (Section 16) — Technical Severity, Exposure, Access Required, and Business Impact — and assigns them different weights (35% / 25% / 20% / 20%) reflecting that a finding's inherent severity should dominate the score, but not completely override how reachable and how costly it is.</w:t>
      </w:r>
    </w:p>
    <w:p>
      <w:pPr>
        <w:pStyle w:val="ListBullet"/>
      </w:pPr>
      <w:r>
        <w:t>That a purely numeric model will not always agree with expert qualitative judgment, and that this disagreement is informative rather than a bug — this had to be discovered by actually running the model and comparing its output to the register (see Section 3 below), rather than assumed in advance.</w:t>
      </w:r>
    </w:p>
    <w:p/>
    <w:p>
      <w:r>
        <w:rPr>
          <w:b/>
          <w:color w:val="0F6E56"/>
          <w:sz w:val="24"/>
        </w:rPr>
        <w:t>3. How It Was Tested</w:t>
      </w:r>
    </w:p>
    <w:p>
      <w:r>
        <w:t>The script was run against the same five findings already ranked qualitatively in the Central Risk Register (WEB-03, VULN-01, NET-01, DATA-01, EV-01 phishing). Each finding's 1–5 ratings were taken directly from the reasoning already documented in the Vulnerability Register and Organization.docx (e.g. WEB-03: no credentials required → Access Ease = 5; VULN-01: internal-LAN-only → Exposure = 2). Actual script output: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56"/>
          </w:tcPr>
          <w:p>
            <w:r/>
            <w:r>
              <w:rPr>
                <w:b/>
                <w:color w:val="FFFFFF"/>
              </w:rPr>
              <w:t>Rank (Script)</w:t>
            </w:r>
          </w:p>
        </w:tc>
        <w:tc>
          <w:tcPr>
            <w:tcW w:type="dxa" w:w="2160"/>
            <w:shd w:val="clear" w:color="auto" w:fill="0F6E56"/>
          </w:tcPr>
          <w:p>
            <w:r/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160"/>
            <w:shd w:val="clear" w:color="auto" w:fill="0F6E56"/>
          </w:tcPr>
          <w:p>
            <w:r/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2160"/>
            <w:shd w:val="clear" w:color="auto" w:fill="0F6E56"/>
          </w:tcPr>
          <w:p>
            <w:r/>
            <w:r>
              <w:rPr>
                <w:b/>
                <w:color w:val="FFFFFF"/>
              </w:rPr>
              <w:t>Rank (Manual Register)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WEB-03 – SQL Injection Auth Bypass</w:t>
            </w:r>
          </w:p>
        </w:tc>
        <w:tc>
          <w:tcPr>
            <w:tcW w:type="dxa" w:w="2160"/>
          </w:tcPr>
          <w:p>
            <w:r>
              <w:t>1 (match)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76.0</w:t>
            </w:r>
          </w:p>
        </w:tc>
        <w:tc>
          <w:tcPr>
            <w:tcW w:type="dxa" w:w="2160"/>
          </w:tcPr>
          <w:p>
            <w:r>
              <w:t>NET-01 – DMZ Not Isolated from Internal LAN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62.0</w:t>
            </w:r>
          </w:p>
        </w:tc>
        <w:tc>
          <w:tcPr>
            <w:tcW w:type="dxa" w:w="2160"/>
          </w:tcPr>
          <w:p>
            <w:r>
              <w:t>DATA-01 – Customer Data Readable by Any Account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EV-01 – Phishing Email Targeting finance01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55.0</w:t>
            </w:r>
          </w:p>
        </w:tc>
        <w:tc>
          <w:tcPr>
            <w:tcW w:type="dxa" w:w="2160"/>
          </w:tcPr>
          <w:p>
            <w:r>
              <w:t>VULN-01 – Firewall Admin Interface over HTTP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t>The script agrees with the manual register on the #1 risk (WEB-03) but disagrees on the ordering of the remaining four: it ranks VULN-01 last (#5) instead of #2. This was investigated rather than dismissed: the manual analysis gave VULN-01 high priority specifically because compromising the firewall admin interface would undermine every other control at once (a systemic, cascading-failure argument). The numeric model has no factor that captures “this asset is a single point of failure for every other control” — it only sees VULN-01's comparatively low technical severity (Medium) and internal-only exposure, so it under-ranks it. This is a genuine, useful finding from the exercise, not a scoring bug: it shows the automated model is a good first-pass triage tool but should not replace the qualitative “what does this asset protect” judgment call for control-plane systems like the firewall.</w:t>
      </w:r>
    </w:p>
    <w:p/>
    <w:p>
      <w:r>
        <w:rPr>
          <w:b/>
          <w:color w:val="0F6E56"/>
          <w:sz w:val="24"/>
        </w:rPr>
        <w:t>4. Limitations</w:t>
      </w:r>
    </w:p>
    <w:p>
      <w:pPr>
        <w:pStyle w:val="ListBullet"/>
      </w:pPr>
      <w:r>
        <w:t>The model has no factor representing “cascading/systemic impact” (an asset's role in protecting other assets), which is why it under-ranked VULN-01 relative to the manual register — see Section 3.</w:t>
      </w:r>
    </w:p>
    <w:p>
      <w:pPr>
        <w:pStyle w:val="ListBullet"/>
      </w:pPr>
      <w:r>
        <w:t>The 1–5 input ratings are still assigned by a human reviewer reading the finding write-up; the script removes inconsistency in how ratings are combined into a final score, but not inconsistency in how the initial 1–5 ratings are assigned.</w:t>
      </w:r>
    </w:p>
    <w:p>
      <w:pPr>
        <w:pStyle w:val="ListBullet"/>
      </w:pPr>
      <w:r>
        <w:t>Weights (35/25/20/20) were chosen to reflect the project brief's emphasis on technical severity as the leading factor; a different, equally defensible weighting would shift the exact scores, though it would not change the #1 ranking (WEB-03) given how large its margin is.</w:t>
      </w:r>
    </w:p>
    <w:p/>
    <w:p>
      <w:r>
        <w:rPr>
          <w:b/>
          <w:color w:val="0F6E56"/>
          <w:sz w:val="24"/>
        </w:rPr>
        <w:t>5. References Used</w:t>
      </w:r>
    </w:p>
    <w:p>
      <w:pPr>
        <w:pStyle w:val="ListBullet"/>
      </w:pPr>
      <w:r>
        <w:t>Project brief, Section 16 – Organization-Level Risk Prioritization (the eight risk factors used as the model's basis): provided as part of the course final project description.</w:t>
      </w:r>
    </w:p>
    <w:p>
      <w:pPr>
        <w:pStyle w:val="ListBullet"/>
      </w:pPr>
      <w:r>
        <w:t>NIST Cybersecurity Framework (CSF), used as general background on risk-based prioritization: https://www.nist.gov/cyberframework</w:t>
      </w:r>
    </w:p>
    <w:p/>
    <w:p>
      <w:r>
        <w:rPr>
          <w:b/>
          <w:color w:val="0F6E56"/>
          <w:sz w:val="24"/>
        </w:rPr>
        <w:t>6. Reusability</w:t>
      </w:r>
    </w:p>
    <w:p>
      <w:r>
        <w:t>The script is self-contained (risk_prioritization_scorer.py) and can be extended by adding a new entry to the FINDINGS dictionary with 1–5 ratings for the four factors; it will automatically compute the weighted score and re-rank the full register, making it directly reusable if the team (or FreshCart's real security team) adds new vulnerability or assessment findings after this project 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