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rPr>
          <w:color w:val="45818e"/>
        </w:rPr>
      </w:pPr>
      <w:bookmarkStart w:colFirst="0" w:colLast="0" w:name="_4uwtpcuikvp6" w:id="0"/>
      <w:bookmarkEnd w:id="0"/>
      <w:r w:rsidDel="00000000" w:rsidR="00000000" w:rsidRPr="00000000">
        <w:rPr>
          <w:rtl w:val="0"/>
        </w:rPr>
        <w:t xml:space="preserve">Régression</w:t>
      </w:r>
      <w:r w:rsidDel="00000000" w:rsidR="00000000" w:rsidRPr="00000000">
        <w:rPr>
          <w:rtl w:val="0"/>
        </w:rPr>
        <w:t xml:space="preserve"> volumes synchrones en freq=30T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Modèle 1 : </w:t>
      </w:r>
      <w:r w:rsidDel="00000000" w:rsidR="00000000" w:rsidRPr="00000000">
        <w:rPr>
          <w:b w:val="1"/>
          <w:sz w:val="18"/>
          <w:szCs w:val="18"/>
          <w:shd w:fill="f5f5f5" w:val="clear"/>
          <w:rtl w:val="0"/>
        </w:rPr>
        <w:t xml:space="preserve">LGBMRegressor(learning_rate=0.05, metric='rmse', objective='regression')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54be99"/>
          <w:rtl w:val="0"/>
        </w:rPr>
        <w:t xml:space="preserve">vert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238125</wp:posOffset>
            </wp:positionV>
            <wp:extent cx="6576561" cy="121920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6561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e69138"/>
        </w:rPr>
      </w:pPr>
      <w:r w:rsidDel="00000000" w:rsidR="00000000" w:rsidRPr="00000000">
        <w:rPr>
          <w:rtl w:val="0"/>
        </w:rPr>
        <w:t xml:space="preserve">On voit que le modèle est trop simple, il n’arrive pas à capter les pics, il ne fait que moyenner, le rouge qui a des HP plus simples est plus performant.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-683894</wp:posOffset>
            </wp:positionH>
            <wp:positionV relativeFrom="paragraph">
              <wp:posOffset>129540</wp:posOffset>
            </wp:positionV>
            <wp:extent cx="7042988" cy="1223570"/>
            <wp:effectExtent b="0" l="0" r="0" t="0"/>
            <wp:wrapNone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2988" cy="1223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0.63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0.65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 modification de hour et minute en hour*100+min a sensiblement augmenter le R²_score.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-718184</wp:posOffset>
            </wp:positionH>
            <wp:positionV relativeFrom="paragraph">
              <wp:posOffset>297133</wp:posOffset>
            </wp:positionV>
            <wp:extent cx="7170420" cy="1256477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12564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L’ajout de plusieurs features a sensiblement augmenté les performances : lunch,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-757237</wp:posOffset>
            </wp:positionH>
            <wp:positionV relativeFrom="paragraph">
              <wp:posOffset>209550</wp:posOffset>
            </wp:positionV>
            <wp:extent cx="7191375" cy="1252691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12526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puis beg et end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190500</wp:posOffset>
            </wp:positionV>
            <wp:extent cx="6905625" cy="1361470"/>
            <wp:effectExtent b="0" l="0" r="0" t="0"/>
            <wp:wrapNone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77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361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 modèle s’est mis à mieux reconnaître les temps du midi sans pour autant devoir augmenter son learning_rate (comme celui du modèle rouge)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"/>
        </w:numPr>
        <w:rPr>
          <w:color w:val="45818e"/>
          <w:sz w:val="32"/>
          <w:szCs w:val="32"/>
        </w:rPr>
      </w:pPr>
      <w:bookmarkStart w:colFirst="0" w:colLast="0" w:name="_q93eftaih55c" w:id="1"/>
      <w:bookmarkEnd w:id="1"/>
      <w:r w:rsidDel="00000000" w:rsidR="00000000" w:rsidRPr="00000000">
        <w:rPr>
          <w:rtl w:val="0"/>
        </w:rPr>
        <w:t xml:space="preserve">Régression volumes synchrones en freq=1H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Modèle 1 : </w:t>
      </w:r>
      <w:r w:rsidDel="00000000" w:rsidR="00000000" w:rsidRPr="00000000">
        <w:rPr>
          <w:b w:val="1"/>
          <w:sz w:val="18"/>
          <w:szCs w:val="18"/>
          <w:shd w:fill="f5f5f5" w:val="clear"/>
          <w:rtl w:val="0"/>
        </w:rPr>
        <w:t xml:space="preserve">LGBMRegressor(learning_rate=0.05, metric='rmse', objective='regression')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54be99"/>
          <w:rtl w:val="0"/>
        </w:rPr>
        <w:t xml:space="preserve">vert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-623887</wp:posOffset>
            </wp:positionH>
            <wp:positionV relativeFrom="paragraph">
              <wp:posOffset>133350</wp:posOffset>
            </wp:positionV>
            <wp:extent cx="6915646" cy="1751828"/>
            <wp:effectExtent b="0" l="0" r="0" t="0"/>
            <wp:wrapNone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646" cy="17518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-604837</wp:posOffset>
            </wp:positionH>
            <wp:positionV relativeFrom="paragraph">
              <wp:posOffset>197440</wp:posOffset>
            </wp:positionV>
            <wp:extent cx="6915150" cy="1412974"/>
            <wp:effectExtent b="0" l="0" r="0" t="0"/>
            <wp:wrapNone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412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Optimisation d’HP avec hyperopt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Hyperespace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1473200"/>
            <wp:effectExtent b="0" l="0" r="0" t="0"/>
            <wp:wrapNone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-868199</wp:posOffset>
            </wp:positionH>
            <wp:positionV relativeFrom="paragraph">
              <wp:posOffset>1123950</wp:posOffset>
            </wp:positionV>
            <wp:extent cx="7463073" cy="1884364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073" cy="1884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Toutefois sur l’année 2023 seulement le modèle Hopt se rapproche des autres niveau performance et visuellement à l’air d’avoir mieux saisi la tendance à la hausses des différents pics : réajuster les train and test dataset.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967.9133858267733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-390524</wp:posOffset>
          </wp:positionH>
          <wp:positionV relativeFrom="paragraph">
            <wp:posOffset>-38099</wp:posOffset>
          </wp:positionV>
          <wp:extent cx="6557726" cy="1448800"/>
          <wp:effectExtent b="0" l="0" r="0" t="0"/>
          <wp:wrapNone/>
          <wp:docPr id="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57726" cy="1448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360"/>
    </w:pPr>
    <w:rPr>
      <w:color w:val="45818e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