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ROV shall weigh less than or equal to 18 kilograms.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ROV’s size shall be able to fit within a 1 by 1 meter square hole.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ROV shall be constructed using corrosion-resistant materials.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Requirement - The ROV shall maintain material integrity in temperatures ranging from 0°C to 40°C.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ROV’s center of gravity shall be on the centerline.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ROV shall not leave debris.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ROV’s attached items shall be secured.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Propellers shall be completely shrouded to IP-20 Standards.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ROV’s Mesh size shall be less than 12.5 millimeters.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 shall have no sharp edges or elements that could injure personally.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 shall be serviceable using basic hand tools.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 shall use standardized mounting patterns for components.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 shall have identifiable connection points. (For troubleshooting)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 shall use reusable fasteners when possible.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 shall have adequate ROV-side strain relief.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ROV’s pressure housings can withstand depth up to 7 meters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If Applicable: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The ROV’s Hydraulics shall utilize water.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ROV’s Pneumatics shall utilize compressed air or inert gas.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ROV’s pressure lines shall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3209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https://20693798.fs1.hubspotusercontent-na1.net/hubfs/20693798/2025%20Onsite%20Safety%20Inspection%20PIONEER%20Updated.pdf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Need to describe trade-offs and rationale for vehicle cost, size, and weight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20693798.fs1.hubspotusercontent-na1.net/hubfs/20693798/2025%20Onsite%20Safety%20Inspection%20PIONEER%20Update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