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wqwatzlf5asx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ThinkTank Oceanus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410"/>
          <w:tab w:val="center" w:leader="none" w:pos="4230"/>
        </w:tabs>
        <w:jc w:val="center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xmuxl25p3es5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Prototype #1 Expectations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323850</wp:posOffset>
            </wp:positionV>
            <wp:extent cx="4724400" cy="47910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22813</wp:posOffset>
            </wp:positionV>
            <wp:extent cx="3271838" cy="32718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271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6h2ef7grdet7" w:id="2"/>
      <w:bookmarkEnd w:id="2"/>
      <w:r w:rsidDel="00000000" w:rsidR="00000000" w:rsidRPr="00000000">
        <w:rPr>
          <w:rtl w:val="0"/>
        </w:rPr>
        <w:t xml:space="preserve">Presentation (Technical)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presentation style, and general guidance refer to “Document Expectations” in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SOP Team Oceanus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present the chosen solution/design for each component.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why it works.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how it theoretically addresses the requirements.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should include trade studies as figures.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show quantitative analysis as evidence that the solution will meet the requirements.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 illustrations, modeling, calculations, analysis that support the chosen design.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must address risk reduction.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risks (technical, safety, etc).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plans for risk reduction.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Subteams should not go over 10 minutes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XNE299L63b-dpCqDiJaWjMK25-1Y6N57GiESh_j6shU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