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wqwatzlf5as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ThinkTank Oceanus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410"/>
          <w:tab w:val="center" w:leader="none" w:pos="4230"/>
        </w:tabs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xmuxl25p3es5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Prototype #2 Expectations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323850</wp:posOffset>
            </wp:positionV>
            <wp:extent cx="4724400" cy="47910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22813</wp:posOffset>
            </wp:positionV>
            <wp:extent cx="3271838" cy="3271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27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6h2ef7grdet7" w:id="2"/>
      <w:bookmarkEnd w:id="2"/>
      <w:r w:rsidDel="00000000" w:rsidR="00000000" w:rsidRPr="00000000">
        <w:rPr>
          <w:rtl w:val="0"/>
        </w:rPr>
        <w:t xml:space="preserve">Presentation (Technical)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presentation style, and general guidance refer to “Document Expectations” in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SOP Team Oceanus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present  their detailed design for each component.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it will be fabricated, tested and integrated into the overall system.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a table showing which analysis and tests will be necessary to confirm each requirement is met.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present their chosen solution including specifications, final materials, and compatibility with other subsystems.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clearly state why their design works and connect their choices to the requirements.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show quantitative analysis as evidence that the solution will meet the requirements.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illustrations, modeling, simulations, calculations, analysis that support the chosen design.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address risk reduction.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risks (technical, safety, etc).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plans for risk reduction.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should not go over 10 minutes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XNE299L63b-dpCqDiJaWjMK25-1Y6N57GiESh_j6sh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