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wqwatzlf5as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ThinkTank Oceanus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410"/>
          <w:tab w:val="center" w:leader="none" w:pos="4230"/>
        </w:tabs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xmuxl25p3es5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Prototype #2 Expectations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323850</wp:posOffset>
            </wp:positionV>
            <wp:extent cx="4724400" cy="47910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22813</wp:posOffset>
            </wp:positionV>
            <wp:extent cx="3271838" cy="32718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27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6h2ef7grdet7" w:id="2"/>
      <w:bookmarkEnd w:id="2"/>
      <w:r w:rsidDel="00000000" w:rsidR="00000000" w:rsidRPr="00000000">
        <w:rPr>
          <w:rtl w:val="0"/>
        </w:rPr>
        <w:t xml:space="preserve">Presentation (Technical)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presentation style, and general guidance refer to “Document Expectations” in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SOP Team Oceanus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present  their detailed design for each component.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it will be fabricated, tested and integrated into the overall system.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a table showing which analysis and tests will be necessary to confirm each requirement is met.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present their chosen solution including specifications, final materials, and compatibility with other subsystems.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clearly state why their design works and connect their choices to the requirements.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show quantitative analysis as evidence that the solution will meet the requirements.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illustrations, modeling, simulations, calculations, analysis that support the chosen design.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address risk reduction.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risks (technical, safety, etc).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plans for risk reduction.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should not go over 10 minutes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XNE299L63b-dpCqDiJaWjMK25-1Y6N57GiESh_j6sh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