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59.999999999998" w:type="dxa"/>
        <w:jc w:val="center"/>
        <w:tblLayout w:type="fixed"/>
        <w:tblLook w:val="0400"/>
      </w:tblPr>
      <w:tblGrid>
        <w:gridCol w:w="496"/>
        <w:gridCol w:w="637"/>
        <w:gridCol w:w="637"/>
        <w:gridCol w:w="637"/>
        <w:gridCol w:w="637"/>
        <w:gridCol w:w="637"/>
        <w:gridCol w:w="331"/>
        <w:gridCol w:w="753"/>
        <w:gridCol w:w="495"/>
        <w:gridCol w:w="753"/>
        <w:gridCol w:w="753"/>
        <w:gridCol w:w="753"/>
        <w:gridCol w:w="753"/>
        <w:gridCol w:w="757"/>
        <w:gridCol w:w="331"/>
        <w:tblGridChange w:id="0">
          <w:tblGrid>
            <w:gridCol w:w="496"/>
            <w:gridCol w:w="637"/>
            <w:gridCol w:w="637"/>
            <w:gridCol w:w="637"/>
            <w:gridCol w:w="637"/>
            <w:gridCol w:w="637"/>
            <w:gridCol w:w="331"/>
            <w:gridCol w:w="753"/>
            <w:gridCol w:w="495"/>
            <w:gridCol w:w="753"/>
            <w:gridCol w:w="753"/>
            <w:gridCol w:w="753"/>
            <w:gridCol w:w="753"/>
            <w:gridCol w:w="757"/>
            <w:gridCol w:w="331"/>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11" w:hRule="atLeast"/>
          <w:tblHeader w:val="0"/>
        </w:trPr>
        <w:tc>
          <w:tcPr>
            <w:vMerge w:val="restart"/>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tcBorders>
              <w:top w:color="000000" w:space="0" w:sz="12" w:val="single"/>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shd w:fill="f8a364" w:val="clear"/>
            <w:vAlign w:val="center"/>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12" w:val="single"/>
              <w:left w:color="000000" w:space="0" w:sz="0" w:val="nil"/>
              <w:bottom w:color="000000" w:space="0" w:sz="0" w:val="nil"/>
              <w:right w:color="000000" w:space="0" w:sz="0" w:val="nil"/>
            </w:tcBorders>
            <w:shd w:fill="ff7c80" w:val="clear"/>
            <w:vAlign w:val="center"/>
          </w:tcPr>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12" w:val="single"/>
              <w:left w:color="000000" w:space="0" w:sz="0" w:val="nil"/>
              <w:bottom w:color="000000" w:space="0" w:sz="0" w:val="nil"/>
              <w:right w:color="000000" w:space="0" w:sz="0" w:val="nil"/>
            </w:tcBorders>
            <w:shd w:fill="ff7c80" w:val="clear"/>
            <w:vAlign w:val="center"/>
          </w:tcPr>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12" w:val="single"/>
            </w:tcBorders>
            <w:shd w:fill="ff7c80" w:val="clear"/>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tcBorders>
              <w:top w:color="000000" w:space="0" w:sz="12" w:val="single"/>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shd w:fill="f8a364" w:val="clear"/>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ff7c80" w:val="clear"/>
            <w:vAlign w:val="center"/>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ff7c80" w:val="clear"/>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0" w:val="nil"/>
              <w:right w:color="000000" w:space="0" w:sz="12" w:val="single"/>
            </w:tcBorders>
            <w:shd w:fill="ff7c80" w:val="clear"/>
            <w:vAlign w:val="center"/>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611" w:hRule="atLeast"/>
          <w:tblHeader w:val="0"/>
        </w:trPr>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shd w:fill="ffff99" w:val="clear"/>
            <w:vAlign w:val="center"/>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12" w:val="single"/>
              <w:left w:color="000000" w:space="0" w:sz="0" w:val="nil"/>
              <w:bottom w:color="000000" w:space="0" w:sz="12" w:val="single"/>
              <w:right w:color="000000" w:space="0" w:sz="12" w:val="single"/>
            </w:tcBorders>
            <w:shd w:fill="f8a364" w:val="clear"/>
            <w:vAlign w:val="center"/>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5, 7</w:t>
            </w:r>
          </w:p>
        </w:tc>
        <w:tc>
          <w:tcPr>
            <w:tcBorders>
              <w:top w:color="000000" w:space="0" w:sz="0" w:val="nil"/>
              <w:left w:color="000000" w:space="0" w:sz="0" w:val="nil"/>
              <w:bottom w:color="000000" w:space="0" w:sz="0" w:val="nil"/>
              <w:right w:color="000000" w:space="0" w:sz="0" w:val="nil"/>
            </w:tcBorders>
            <w:shd w:fill="ff7c80" w:val="clear"/>
            <w:vAlign w:val="center"/>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w:t>
            </w:r>
          </w:p>
        </w:tc>
        <w:tc>
          <w:tcPr>
            <w:tcBorders>
              <w:top w:color="000000" w:space="0" w:sz="0" w:val="nil"/>
              <w:left w:color="000000" w:space="0" w:sz="0" w:val="nil"/>
              <w:bottom w:color="000000" w:space="0" w:sz="0" w:val="nil"/>
              <w:right w:color="000000" w:space="0" w:sz="12" w:val="single"/>
            </w:tcBorders>
            <w:shd w:fill="ff7c80" w:val="clear"/>
            <w:vAlign w:val="center"/>
          </w:tcPr>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ffff99" w:val="clear"/>
            <w:vAlign w:val="center"/>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shd w:fill="f8a364" w:val="clear"/>
            <w:vAlign w:val="center"/>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7c80" w:val="clear"/>
            <w:vAlign w:val="center"/>
          </w:tcPr>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ff7c80" w:val="clear"/>
            <w:vAlign w:val="center"/>
          </w:tcPr>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611" w:hRule="atLeast"/>
          <w:tblHeader w:val="0"/>
        </w:trPr>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12" w:val="single"/>
            </w:tcBorders>
            <w:shd w:fill="8ed973" w:val="clear"/>
            <w:vAlign w:val="center"/>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12" w:val="single"/>
            </w:tcBorders>
            <w:shd w:fill="ffff99" w:val="clear"/>
            <w:vAlign w:val="center"/>
          </w:tcPr>
          <w:p w:rsidR="00000000" w:rsidDel="00000000" w:rsidP="00000000" w:rsidRDefault="00000000" w:rsidRPr="00000000" w14:paraId="000000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12" w:val="single"/>
              <w:left w:color="000000" w:space="0" w:sz="0" w:val="nil"/>
              <w:bottom w:color="000000" w:space="0" w:sz="0" w:val="nil"/>
              <w:right w:color="000000" w:space="0" w:sz="12" w:val="single"/>
            </w:tcBorders>
            <w:shd w:fill="f8a364" w:val="clear"/>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12" w:val="single"/>
            </w:tcBorders>
            <w:shd w:fill="ff7c80" w:val="clear"/>
            <w:vAlign w:val="center"/>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8ed973" w:val="clear"/>
            <w:vAlign w:val="center"/>
          </w:tcPr>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0" w:val="nil"/>
              <w:bottom w:color="000000" w:space="0" w:sz="0" w:val="nil"/>
              <w:right w:color="000000" w:space="0" w:sz="12" w:val="single"/>
            </w:tcBorders>
            <w:shd w:fill="ffff99" w:val="clear"/>
            <w:vAlign w:val="center"/>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12" w:val="single"/>
              <w:left w:color="000000" w:space="0" w:sz="0" w:val="nil"/>
              <w:bottom w:color="000000" w:space="0" w:sz="0" w:val="nil"/>
              <w:right w:color="000000" w:space="0" w:sz="12" w:val="single"/>
            </w:tcBorders>
            <w:shd w:fill="f8a364" w:val="clear"/>
            <w:vAlign w:val="center"/>
          </w:tcPr>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ff7c80" w:val="clear"/>
            <w:vAlign w:val="center"/>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1" w:hRule="atLeast"/>
          <w:tblHeader w:val="0"/>
        </w:trPr>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shd w:fill="8ed973" w:val="clear"/>
            <w:vAlign w:val="center"/>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0" w:val="nil"/>
            </w:tcBorders>
            <w:shd w:fill="ffff99" w:val="clear"/>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12" w:val="single"/>
              <w:left w:color="000000" w:space="0" w:sz="0" w:val="nil"/>
              <w:bottom w:color="000000" w:space="0" w:sz="12" w:val="single"/>
              <w:right w:color="000000" w:space="0" w:sz="12" w:val="single"/>
            </w:tcBorders>
            <w:shd w:fill="ffff99" w:val="clear"/>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tc>
        <w:tc>
          <w:tcPr>
            <w:tcBorders>
              <w:top w:color="000000" w:space="0" w:sz="12" w:val="single"/>
              <w:left w:color="000000" w:space="0" w:sz="0" w:val="nil"/>
              <w:bottom w:color="000000" w:space="0" w:sz="12" w:val="single"/>
              <w:right w:color="000000" w:space="0" w:sz="12" w:val="single"/>
            </w:tcBorders>
            <w:shd w:fill="f8a364" w:val="clear"/>
            <w:vAlign w:val="center"/>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12" w:val="single"/>
            </w:tcBorders>
            <w:shd w:fill="4ea72e" w:val="clea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8ed973" w:val="clear"/>
            <w:vAlign w:val="cente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c>
          <w:tcPr>
            <w:tcBorders>
              <w:top w:color="000000" w:space="0" w:sz="0" w:val="nil"/>
              <w:left w:color="000000" w:space="0" w:sz="0" w:val="nil"/>
              <w:bottom w:color="000000" w:space="0" w:sz="12" w:val="single"/>
              <w:right w:color="000000" w:space="0" w:sz="0" w:val="nil"/>
            </w:tcBorders>
            <w:shd w:fill="ffff99" w:val="clear"/>
            <w:vAlign w:val="center"/>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12" w:val="single"/>
              <w:left w:color="000000" w:space="0" w:sz="0" w:val="nil"/>
              <w:bottom w:color="000000" w:space="0" w:sz="12" w:val="single"/>
              <w:right w:color="000000" w:space="0" w:sz="12" w:val="single"/>
            </w:tcBorders>
            <w:shd w:fill="ffff99" w:val="clear"/>
            <w:vAlign w:val="center"/>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shd w:fill="f8a364" w:val="clear"/>
            <w:vAlign w:val="center"/>
          </w:tcPr>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1" w:hRule="atLeast"/>
          <w:tblHeader w:val="0"/>
        </w:trPr>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4ea72e" w:val="clear"/>
            <w:vAlign w:val="center"/>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shd w:fill="4ea72e" w:val="clear"/>
            <w:vAlign w:val="center"/>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0" w:val="nil"/>
            </w:tcBorders>
            <w:shd w:fill="8ed973" w:val="clear"/>
            <w:vAlign w:val="center"/>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shd w:fill="8ed973" w:val="clea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shd w:fill="ffff99" w:val="clear"/>
            <w:vAlign w:val="center"/>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12" w:val="single"/>
            </w:tcBorders>
            <w:vAlign w:val="center"/>
          </w:tcPr>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4ea72e" w:val="clear"/>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4ea72e" w:val="clear"/>
            <w:vAlign w:val="center"/>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8ed973" w:val="clear"/>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8ed973" w:val="clear"/>
            <w:vAlign w:val="center"/>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ffff99" w:val="clear"/>
            <w:vAlign w:val="center"/>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0" w:val="nil"/>
              <w:bottom w:color="000000" w:space="0" w:sz="0" w:val="nil"/>
              <w:right w:color="000000" w:space="0" w:sz="0" w:val="nil"/>
            </w:tcBorders>
            <w:vAlign w:val="center"/>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12" w:val="single"/>
              <w:left w:color="000000" w:space="0" w:sz="0" w:val="nil"/>
              <w:bottom w:color="000000" w:space="0" w:sz="0" w:val="nil"/>
              <w:right w:color="000000" w:space="0" w:sz="0" w:val="nil"/>
            </w:tcBorders>
            <w:vAlign w:val="center"/>
          </w:tcPr>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D">
      <w:pPr>
        <w:spacing w:after="160" w:line="278.0000000000000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after="160" w:line="278.0000000000000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1: Risk matrices for the raw values; the left table corresponds to the raw values and the right table corresponds to the mitigated values. </w:t>
      </w:r>
    </w:p>
    <w:p w:rsidR="00000000" w:rsidDel="00000000" w:rsidP="00000000" w:rsidRDefault="00000000" w:rsidRPr="00000000" w14:paraId="0000007F">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w:t>
      </w:r>
    </w:p>
    <w:p w:rsidR="00000000" w:rsidDel="00000000" w:rsidP="00000000" w:rsidRDefault="00000000" w:rsidRPr="00000000" w14:paraId="00000080">
      <w:pPr>
        <w:spacing w:after="160" w:line="278.0000000000000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 is a very important piece of the project that is likely to fail if nothing is done. A score of 5, 5 is necessary without mitigation.</w:t>
      </w:r>
    </w:p>
    <w:p w:rsidR="00000000" w:rsidDel="00000000" w:rsidP="00000000" w:rsidRDefault="00000000" w:rsidRPr="00000000" w14:paraId="00000081">
      <w:pPr>
        <w:spacing w:after="160" w:line="278.0000000000000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mitigated through fundraising events and donations through organizations such as TAMU ThinkTank and various TAMU departments, the budget will no longer be as likely to fail and thus will achieve a score of 3, 3. </w:t>
      </w:r>
    </w:p>
    <w:p w:rsidR="00000000" w:rsidDel="00000000" w:rsidP="00000000" w:rsidRDefault="00000000" w:rsidRPr="00000000" w14:paraId="00000082">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p w:rsidR="00000000" w:rsidDel="00000000" w:rsidP="00000000" w:rsidRDefault="00000000" w:rsidRPr="00000000" w14:paraId="0000008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Following the timeline is necessary for the completion of the fabrication and testing phase of the ROV. Without following a structure for these phases, the team would not be able to achieve the functionality of the ROV for the product demonstration to qualify for the World’s competition. A score of 5,4 is necessary without mitigation.</w:t>
      </w:r>
    </w:p>
    <w:p w:rsidR="00000000" w:rsidDel="00000000" w:rsidP="00000000" w:rsidRDefault="00000000" w:rsidRPr="00000000" w14:paraId="00000084">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mitigate this risk, it is necessary to create an accurate and realistic Gantt chart that covers all phases that are necessary to make a functional ROV that could qualify for World’s. The Gantt chart must be followed at all times and buffers are necessary. If mitigated, the score of this risk will be 5,2. </w:t>
      </w:r>
    </w:p>
    <w:p w:rsidR="00000000" w:rsidDel="00000000" w:rsidP="00000000" w:rsidRDefault="00000000" w:rsidRPr="00000000" w14:paraId="00000085">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Inexperience</w:t>
      </w:r>
    </w:p>
    <w:p w:rsidR="00000000" w:rsidDel="00000000" w:rsidP="00000000" w:rsidRDefault="00000000" w:rsidRPr="00000000" w14:paraId="00000086">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great majority of the members from Oceanus are new to underwater robotics, which makes mistakes and accidents very likely to occur. Without mitigation, the score for this risk would be 4,4.</w:t>
      </w:r>
    </w:p>
    <w:p w:rsidR="00000000" w:rsidDel="00000000" w:rsidP="00000000" w:rsidRDefault="00000000" w:rsidRPr="00000000" w14:paraId="00000087">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the mentoring of people with greater technical skills, lots of documentation and research and communication, this risk can be mitigated to a score of 3,3.</w:t>
      </w:r>
    </w:p>
    <w:p w:rsidR="00000000" w:rsidDel="00000000" w:rsidP="00000000" w:rsidRDefault="00000000" w:rsidRPr="00000000" w14:paraId="00000088">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 Criteria</w:t>
      </w:r>
    </w:p>
    <w:p w:rsidR="00000000" w:rsidDel="00000000" w:rsidP="00000000" w:rsidRDefault="00000000" w:rsidRPr="00000000" w14:paraId="00000089">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Due to the documentation that Oceanus has on the MATE ROV guidelines and other documents along with effective reinforced communication among peers, it is not very likely to deal with conflicts with the guideline criteria. For this reason, this risk has a score of a 5,2. If Oceanus fails to achieve an important criteria, the ROV won’t be able to compete in World’s.</w:t>
      </w:r>
    </w:p>
    <w:p w:rsidR="00000000" w:rsidDel="00000000" w:rsidP="00000000" w:rsidRDefault="00000000" w:rsidRPr="00000000" w14:paraId="0000008A">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a constant process of validation and verification, where Oceanus makes sure that the ROV achieves the expected guidelines criteria, this risk will be mitigated to a 5,1. </w:t>
      </w:r>
    </w:p>
    <w:p w:rsidR="00000000" w:rsidDel="00000000" w:rsidP="00000000" w:rsidRDefault="00000000" w:rsidRPr="00000000" w14:paraId="0000008B">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Risk</w:t>
      </w:r>
    </w:p>
    <w:p w:rsidR="00000000" w:rsidDel="00000000" w:rsidP="00000000" w:rsidRDefault="00000000" w:rsidRPr="00000000" w14:paraId="0000008C">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ROV needs functional mechanical appendages to complete tasks, however failure of these components will not cause critical failure of the robot. A score of 3, 4 was given to this risk </w:t>
      </w:r>
    </w:p>
    <w:p w:rsidR="00000000" w:rsidDel="00000000" w:rsidP="00000000" w:rsidRDefault="00000000" w:rsidRPr="00000000" w14:paraId="0000008D">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constant testing, process of validation and verification, a spare part for most components, along with the assistance of mentors, this risk would be mitigated to a 2,3.</w:t>
      </w:r>
    </w:p>
    <w:p w:rsidR="00000000" w:rsidDel="00000000" w:rsidP="00000000" w:rsidRDefault="00000000" w:rsidRPr="00000000" w14:paraId="0000008E">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Risk</w:t>
      </w:r>
    </w:p>
    <w:p w:rsidR="00000000" w:rsidDel="00000000" w:rsidP="00000000" w:rsidRDefault="00000000" w:rsidRPr="00000000" w14:paraId="0000008F">
      <w:pPr>
        <w:spacing w:after="160" w:line="278.0000000000000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electrical components are crucial to ROV functionality, any error in the electrical system during deployment would be catastrophic and costly to the ROV. For this risk the team has given a score of 5,4.</w:t>
      </w:r>
    </w:p>
    <w:p w:rsidR="00000000" w:rsidDel="00000000" w:rsidP="00000000" w:rsidRDefault="00000000" w:rsidRPr="00000000" w14:paraId="00000090">
      <w:pPr>
        <w:spacing w:after="160" w:line="278.0000000000000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constant testing, process of validation and verification, a spare part for most components, along with the assistance of mentors, this risk would be mitigated to a 5,2.</w:t>
      </w:r>
    </w:p>
    <w:p w:rsidR="00000000" w:rsidDel="00000000" w:rsidP="00000000" w:rsidRDefault="00000000" w:rsidRPr="00000000" w14:paraId="00000091">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Risk</w:t>
      </w:r>
    </w:p>
    <w:p w:rsidR="00000000" w:rsidDel="00000000" w:rsidP="00000000" w:rsidRDefault="00000000" w:rsidRPr="00000000" w14:paraId="00000092">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Bugs are inevitable in complex systems, well constructed code would leave only edge case problems. The provided score of this risk is 4,3.</w:t>
      </w:r>
    </w:p>
    <w:p w:rsidR="00000000" w:rsidDel="00000000" w:rsidP="00000000" w:rsidRDefault="00000000" w:rsidRPr="00000000" w14:paraId="0000009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constant testing, process of validation and verification, proper organization, attention to detail and good practices the mitigated risk would be 2,2.</w:t>
      </w:r>
    </w:p>
    <w:p w:rsidR="00000000" w:rsidDel="00000000" w:rsidP="00000000" w:rsidRDefault="00000000" w:rsidRPr="00000000" w14:paraId="00000094">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Risk</w:t>
      </w:r>
    </w:p>
    <w:p w:rsidR="00000000" w:rsidDel="00000000" w:rsidP="00000000" w:rsidRDefault="00000000" w:rsidRPr="00000000" w14:paraId="00000095">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Human error is introduced into the construction of the ROV, this could lead to issues with the physical construction of the ROV.</w:t>
      </w:r>
      <w:r w:rsidDel="00000000" w:rsidR="00000000" w:rsidRPr="00000000">
        <w:rPr>
          <w:rFonts w:ascii="Aptos" w:cs="Aptos" w:eastAsia="Aptos" w:hAnsi="Apto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error would be both costly and delay the project. This risk has a score of 4,4.</w:t>
      </w:r>
    </w:p>
    <w:p w:rsidR="00000000" w:rsidDel="00000000" w:rsidP="00000000" w:rsidRDefault="00000000" w:rsidRPr="00000000" w14:paraId="00000096">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constant testing, process of validation and verification, effective communication ,along with the assistance of mentors, this risk would be mitigated to a 3,2.</w:t>
      </w:r>
    </w:p>
    <w:p w:rsidR="00000000" w:rsidDel="00000000" w:rsidP="00000000" w:rsidRDefault="00000000" w:rsidRPr="00000000" w14:paraId="00000097">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Risk</w:t>
      </w:r>
    </w:p>
    <w:p w:rsidR="00000000" w:rsidDel="00000000" w:rsidP="00000000" w:rsidRDefault="00000000" w:rsidRPr="00000000" w14:paraId="00000098">
      <w:pPr>
        <w:spacing w:after="160" w:line="278.0000000000000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robot including chassis and electronics housing must remain intact to have a functioning ROV, however it is unlikely that critical failure will occur with standard construction practices. A score of  2,4 was given to this risk.</w:t>
      </w:r>
    </w:p>
    <w:p w:rsidR="00000000" w:rsidDel="00000000" w:rsidP="00000000" w:rsidRDefault="00000000" w:rsidRPr="00000000" w14:paraId="00000099">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constant testing, process of validation and verification, a spare part for most components, along with the assistance of mentors, this risk would be mitigated to a 2,3.</w:t>
      </w:r>
    </w:p>
    <w:p w:rsidR="00000000" w:rsidDel="00000000" w:rsidP="00000000" w:rsidRDefault="00000000" w:rsidRPr="00000000" w14:paraId="0000009A">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