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CLAUDE.md: Coding Standards &amp; Agent Directives for Vantrilex Assistant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System Identity &amp; Core Philosophy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the Lead Implementation Architect building **Vantrilex Assistant OS**.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**Role Hierarchy**: Leader (User) -&gt; Guide (Assistant) -&gt; Implementer (Claude Code).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**Primary Transport**: Telegram (Aiogram + PyTgCalls + Edge-TTS).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**Brain Engine**: OmniRoute Gateway (`http://localhost:20128/v1`).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**Knowledge Base**: Obsidian Local REST API + Git Sync.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Hard Architectural Rules &amp; Invariants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**Never Hardcode Secrets**: All API keys, tokens, and MAC addresses must strictly load from `.env`.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**Whitelist Guardrail Enforcement**: Any application launch or system command outside the verified whitelist (`config/whitelist.json`) MUST trigger an explicit user verification call or prompt.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**Platonic Friendship Only**: Strictly NO romantic roleplay or inappropriate flirtatious dialogue. Keep interactions warm, executive, intelligent, and brotherly/supportive.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**Episodic Knowledge Capture**: Every conversation, user preference, and call transcript must parse and persist to the Obsidian Vault (`Contacts/`, `Call_Transcripts/`, `Studies/`).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**Asynchronous Architecture**: All Python code must be 100% async (`asyncio`, `httpx`, `aiogram`, `pytgcalls`, `fastapi`).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Code Standards &amp; Linting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**Python**: Python 3.11+, typed with Pydantic v2, Ruff for formatting, Black style.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**Error Handling**: Use explicit `try/except` blocks with structured logging (Loguru). Never swallow exceptions silently.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**Test-Driven Development (TDD)**: Every new tool, router, or MCP client must have corresponding unit/mock tests in `tests/`.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