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0" w:name="intro"/>
      <w:r>
        <w:t xml:space="preserve">Introduction</w:t>
      </w:r>
      <w:bookmarkEnd w:id="20"/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</w:t>
      </w:r>
    </w:p>
    <w:p>
      <w:pPr>
        <w:pStyle w:val="CaptionedFigure"/>
      </w:pPr>
      <w:r>
        <w:drawing>
          <wp:inline>
            <wp:extent cx="2859287" cy="1905000"/>
            <wp:effectExtent b="0" l="0" r="0" t="0"/>
            <wp:docPr descr="Figure 1: Baby Weddell Seals are very cute. By Photo © Samuel Blanc, CC BY-SA 3.0, https://commons.wikimedia.org/w/index.php?curid=3877642" title="" id="1" name="Picture"/>
            <a:graphic>
              <a:graphicData uri="http://schemas.openxmlformats.org/drawingml/2006/picture">
                <pic:pic>
                  <pic:nvPicPr>
                    <pic:cNvPr descr="pics/Baby_Weddell_Se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87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Baby Weddell Seals are very cute. By Photo © Samuel Blanc, CC BY-SA 3.0,</w:t>
      </w:r>
      <w:r>
        <w:t xml:space="preserve"> </w:t>
      </w:r>
      <w:hyperlink r:id="rId22">
        <w:r>
          <w:rPr>
            <w:rStyle w:val="Hyperlink"/>
          </w:rPr>
          <w:t xml:space="preserve">https://commons.wikimedia.org/w/index.php?curid=3877642</w:t>
        </w:r>
      </w:hyperlink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We measured the myoglobin content of the skeletal muscle of 28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2021)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 and the rmarkdown</w:t>
      </w:r>
      <w:r>
        <w:t xml:space="preserve"> </w:t>
      </w:r>
      <w:r>
        <w:t xml:space="preserve">(Allaire et al. 2019)</w:t>
      </w:r>
      <w:r>
        <w:t xml:space="preserve"> </w:t>
      </w:r>
      <w:r>
        <w:t xml:space="preserve">and bookdown</w:t>
      </w:r>
      <w:r>
        <w:t xml:space="preserve"> </w:t>
      </w:r>
      <w:r>
        <w:t xml:space="preserve">(Xie 2016)</w:t>
      </w:r>
      <w:r>
        <w:t xml:space="preserve"> </w:t>
      </w:r>
      <w:r>
        <w:t xml:space="preserve">packages for manuscript preparation.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5.88;</w:t>
      </w:r>
      <w:r>
        <w:t xml:space="preserve"> </w:t>
      </w:r>
      <w:r>
        <w:rPr>
          <w:i/>
        </w:rPr>
        <w:t xml:space="preserve">d.f.</w:t>
      </w:r>
      <w:r>
        <w:t xml:space="preserve"> </w:t>
      </w:r>
      <w:r>
        <w:t xml:space="preserve">=2, 81;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0.004). Post-hoc testing revealed that difference to be between the Weddell seal with the highest myoglobin concentrations (</w:t>
      </w:r>
      <m:oMath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48.91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1.61 g Kg</w:t>
      </w:r>
      <w:r>
        <w:rPr>
          <w:vertAlign w:val="superscript"/>
        </w:rPr>
        <w:t xml:space="preserve">-1</w:t>
      </w:r>
      <w:r>
        <w:t xml:space="preserve">) and the Harbour seal with the lowest (41.6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2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A summary of the data.</w:t>
      </w:r>
    </w:p>
    <w:tbl>
      <w:tblPr>
        <w:tblStyle w:val="Table"/>
        <w:tblW w:type="pct" w:w="0.0"/>
        <w:tblLook w:firstRow="1"/>
        <w:tblCaption w:val="Table 1: A summary of the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p>
            <w:pPr>
              <w:pStyle w:val="Compact"/>
              <w:jc w:val="right"/>
            </w:pPr>
            <w:r>
              <w:t xml:space="preserve">44.44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p>
            <w:pPr>
              <w:pStyle w:val="Compact"/>
              <w:jc w:val="right"/>
            </w:pPr>
            <w:r>
              <w:t xml:space="preserve">41.60</w:t>
            </w:r>
          </w:p>
        </w:tc>
        <w:tc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p>
            <w:pPr>
              <w:pStyle w:val="Compact"/>
              <w:jc w:val="right"/>
            </w:pPr>
            <w:r>
              <w:t xml:space="preserve">48.91</w:t>
            </w:r>
          </w:p>
        </w:tc>
        <w:tc>
          <w:p>
            <w:pPr>
              <w:pStyle w:val="Compact"/>
              <w:jc w:val="right"/>
            </w:pPr>
            <w:r>
              <w:t xml:space="preserve">8.54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2: Mean Myoglobin content of skeletal muscle. Error bars are \pm 1 s.e.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Mean Myoglobin content of skeletal muscle. Error bars are</w:t>
      </w:r>
      <w:r>
        <w:t xml:space="preserve"> </w:t>
      </w:r>
      <m:oMath>
        <m:r>
          <m:t>±</m:t>
        </m:r>
        <m:r>
          <m:t>1</m:t>
        </m:r>
        <m:r>
          <m:t>s</m:t>
        </m:r>
        <m:r>
          <m:t>.</m:t>
        </m:r>
        <m:r>
          <m:t>e</m:t>
        </m:r>
        <m:r>
          <m:t>.</m:t>
        </m:r>
      </m:oMath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FirstParagraph"/>
      </w:pPr>
      <w:r>
        <w:t xml:space="preserve">See Table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TableCaption"/>
      </w:pPr>
      <w:r>
        <w:t xml:space="preserve">Table 2: A summary of the data.</w:t>
      </w:r>
    </w:p>
    <w:tbl>
      <w:tblPr>
        <w:tblStyle w:val="Table"/>
        <w:tblW w:type="pct" w:w="0.0"/>
        <w:tblLook w:firstRow="1"/>
        <w:tblCaption w:val="Table 2: A summary of the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p>
            <w:pPr>
              <w:pStyle w:val="Compact"/>
              <w:jc w:val="right"/>
            </w:pPr>
            <w:r>
              <w:t xml:space="preserve">44.44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p>
            <w:pPr>
              <w:pStyle w:val="Compact"/>
              <w:jc w:val="right"/>
            </w:pPr>
            <w:r>
              <w:t xml:space="preserve">41.60</w:t>
            </w:r>
          </w:p>
        </w:tc>
        <w:tc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p>
            <w:pPr>
              <w:pStyle w:val="Compact"/>
              <w:jc w:val="right"/>
            </w:pPr>
            <w:r>
              <w:t xml:space="preserve">48.91</w:t>
            </w:r>
          </w:p>
        </w:tc>
        <w:tc>
          <w:p>
            <w:pPr>
              <w:pStyle w:val="Compact"/>
              <w:jc w:val="right"/>
            </w:pPr>
            <w:r>
              <w:t xml:space="preserve">8.54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</w:tbl>
    <w:p>
      <w:pPr>
        <w:pStyle w:val="BodyText"/>
      </w:pPr>
      <w:r>
        <w:t xml:space="preserve">Here we pick up points from the</w:t>
      </w:r>
      <w:r>
        <w:t xml:space="preserve"> </w:t>
      </w:r>
      <w:hyperlink w:anchor="intro">
        <w:r>
          <w:rPr>
            <w:rStyle w:val="Hyperlink"/>
          </w:rPr>
          <w:t xml:space="preserve">Introduction</w:t>
        </w:r>
      </w:hyperlink>
      <w:r>
        <w:t xml:space="preserve">.</w:t>
      </w:r>
    </w:p>
    <w:p>
      <w:pPr>
        <w:pStyle w:val="Heading1"/>
      </w:pPr>
      <w:bookmarkStart w:id="27" w:name="refs"/>
      <w:r>
        <w:t xml:space="preserve">References</w:t>
      </w:r>
      <w:bookmarkEnd w:id="27"/>
    </w:p>
    <w:bookmarkStart w:id="38" w:name="refs"/>
    <w:bookmarkStart w:id="29" w:name="ref-markdown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2019.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9"/>
    <w:bookmarkStart w:id="31" w:name="ref-Kanatous2741"/>
    <w:p>
      <w:pPr>
        <w:pStyle w:val="Bibliography"/>
      </w:pPr>
      <w:r>
        <w:t xml:space="preserve">Kanatous, Shane B., and Pradeep P. A. Mammen. 2010. “Regulation of Myoglobin Expression.”</w:t>
      </w:r>
      <w:r>
        <w:t xml:space="preserve"> </w:t>
      </w:r>
      <w:r>
        <w:rPr>
          <w:i/>
        </w:rPr>
        <w:t xml:space="preserve">Journal of Experimental Biology</w:t>
      </w:r>
      <w:r>
        <w:t xml:space="preserve"> </w:t>
      </w:r>
      <w:r>
        <w:t xml:space="preserve">213 (16): 2741–7.</w:t>
      </w:r>
      <w:r>
        <w:t xml:space="preserve"> </w:t>
      </w:r>
      <w:hyperlink r:id="rId30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1"/>
    <w:bookmarkStart w:id="33" w:name="ref-R-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3"/>
    <w:bookmarkStart w:id="35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5"/>
    <w:bookmarkStart w:id="37" w:name="ref-bookdown"/>
    <w:p>
      <w:pPr>
        <w:pStyle w:val="Bibliography"/>
      </w:pPr>
      <w:r>
        <w:t xml:space="preserve">Xie, Yihui. 2016.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 Boca Raton, Florida: Chapman; Hall/CRC.</w:t>
      </w:r>
      <w:r>
        <w:t xml:space="preserve"> </w:t>
      </w:r>
      <w:hyperlink r:id="rId36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Relationship Type="http://schemas.openxmlformats.org/officeDocument/2006/relationships/hyperlink" Id="rId34" Target="https://CRAN.R-project.org/package=tidyverse" TargetMode="External" /><Relationship Type="http://schemas.openxmlformats.org/officeDocument/2006/relationships/hyperlink" Id="rId22" Target="https://commons.wikimedia.org/w/index.php?curid=3877642" TargetMode="External" /><Relationship Type="http://schemas.openxmlformats.org/officeDocument/2006/relationships/hyperlink" Id="rId30" Target="https://doi.org/10.1242/jeb.041442" TargetMode="External" /><Relationship Type="http://schemas.openxmlformats.org/officeDocument/2006/relationships/hyperlink" Id="rId36" Target="https://github.com/rstudio/bookdown" TargetMode="External" /><Relationship Type="http://schemas.openxmlformats.org/officeDocument/2006/relationships/hyperlink" Id="rId28" Target="https://github.com/rstudio/rmarkdown" TargetMode="External" /><Relationship Type="http://schemas.openxmlformats.org/officeDocument/2006/relationships/hyperlink" Id="rId32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RAN.R-project.org/package=tidyverse" TargetMode="External" /><Relationship Type="http://schemas.openxmlformats.org/officeDocument/2006/relationships/hyperlink" Id="rId22" Target="https://commons.wikimedia.org/w/index.php?curid=3877642" TargetMode="External" /><Relationship Type="http://schemas.openxmlformats.org/officeDocument/2006/relationships/hyperlink" Id="rId30" Target="https://doi.org/10.1242/jeb.041442" TargetMode="External" /><Relationship Type="http://schemas.openxmlformats.org/officeDocument/2006/relationships/hyperlink" Id="rId36" Target="https://github.com/rstudio/bookdown" TargetMode="External" /><Relationship Type="http://schemas.openxmlformats.org/officeDocument/2006/relationships/hyperlink" Id="rId28" Target="https://github.com/rstudio/rmarkdown" TargetMode="External" /><Relationship Type="http://schemas.openxmlformats.org/officeDocument/2006/relationships/hyperlink" Id="rId32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2021-04-19T12:17:10Z</dcterms:created>
  <dcterms:modified xsi:type="dcterms:W3CDTF">2021-04-19T12:17:10Z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