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p>
    <w:p>
      <w:pPr>
        <w:spacing w:after="240"/>
        <w:jc w:val="center"/>
      </w:pPr>
      <w:r>
        <w:rPr>
          <w:b/>
          <w:color w:val="1F4E78"/>
          <w:sz w:val="56"/>
        </w:rPr>
        <w:t>Global Asthma Burden</w:t>
      </w:r>
    </w:p>
    <w:p>
      <w:pPr>
        <w:spacing w:after="960"/>
        <w:jc w:val="center"/>
      </w:pPr>
      <w:r>
        <w:rPr>
          <w:color w:val="595959"/>
          <w:sz w:val="32"/>
        </w:rPr>
        <w:t>Patient-Level Analytics — Project Documentation</w:t>
      </w:r>
    </w:p>
    <w:p>
      <w:pPr>
        <w:spacing w:after="2400"/>
        <w:jc w:val="center"/>
      </w:pPr>
      <w:r>
        <w:rPr>
          <w:i/>
          <w:color w:val="595959"/>
          <w:sz w:val="22"/>
        </w:rPr>
        <w:t>Data Cleaning · Exploratory Data Analysis · Machine Learning · Model Evaluation · Excel Dashboard</w:t>
      </w:r>
    </w:p>
    <w:p>
      <w:pPr>
        <w:jc w:val="center"/>
      </w:pPr>
      <w:r>
        <w:rPr>
          <w:color w:val="595959"/>
          <w:sz w:val="20"/>
        </w:rPr>
        <w:t>Dataset: Asthma Disease Dataset (Patient-Level) — 2,392 patients, 29 raw fields</w:t>
      </w:r>
    </w:p>
    <w:p>
      <w:r>
        <w:br w:type="page"/>
      </w:r>
    </w:p>
    <w:p>
      <w:pPr>
        <w:sectPr>
          <w:pgSz w:w="12240" w:h="15840"/>
          <w:pgMar w:top="1080" w:right="1080" w:bottom="1080" w:left="1080" w:header="720" w:footer="720" w:gutter="0"/>
          <w:cols w:space="720"/>
          <w:docGrid w:linePitch="360"/>
        </w:sectPr>
      </w:pPr>
    </w:p>
    <w:p>
      <w:pPr>
        <w:spacing w:after="240"/>
      </w:pPr>
      <w:r>
        <w:rPr>
          <w:b/>
          <w:color w:val="1F4E78"/>
          <w:sz w:val="32"/>
        </w:rPr>
        <w:t>Table of Contents</w:t>
      </w:r>
    </w:p>
    <w:p>
      <w:pPr>
        <w:tabs>
          <w:tab w:val="right" w:leader="dot" w:pos="9360"/>
        </w:tabs>
      </w:pPr>
      <w:r>
        <w:fldChar w:fldCharType="begin"/>
        <w:instrText xml:space="preserve">TOC \o "1-3" \h \z \u</w:instrText>
        <w:fldChar w:fldCharType="separate"/>
        <w:fldChar w:fldCharType="end"/>
      </w:r>
    </w:p>
    <w:p>
      <w:r>
        <w:br w:type="page"/>
      </w:r>
    </w:p>
    <w:p>
      <w:pPr>
        <w:keepNext/>
        <w:spacing w:before="400" w:after="200"/>
      </w:pPr>
      <w:r>
        <w:rPr>
          <w:b/>
          <w:color w:val="1F4E78"/>
          <w:sz w:val="30"/>
        </w:rPr>
        <w:t>1. Project Overview</w:t>
      </w:r>
    </w:p>
    <w:p>
      <w:pPr>
        <w:spacing w:after="160"/>
      </w:pPr>
      <w:r>
        <w:rPr>
          <w:color w:val="222222"/>
          <w:sz w:val="22"/>
        </w:rPr>
        <w:t>This document covers the patient-level analytics track of the Global Asthma Burden project: cleaning the raw patient dataset, exploring it statistically, training and evaluating five machine learning models to predict an asthma diagnosis, and building an interactive Excel dashboard on top of the cleaned data.</w:t>
      </w:r>
    </w:p>
    <w:p>
      <w:pPr>
        <w:spacing w:after="160"/>
      </w:pPr>
      <w:r>
        <w:rPr>
          <w:color w:val="222222"/>
          <w:sz w:val="22"/>
        </w:rPr>
        <w:t>The work is organized into four Jupyter notebooks:</w:t>
      </w:r>
    </w:p>
    <w:p>
      <w:pPr>
        <w:pStyle w:val="ListBullet"/>
        <w:spacing w:after="80"/>
      </w:pPr>
      <w:r>
        <w:rPr>
          <w:color w:val="222222"/>
          <w:sz w:val="22"/>
        </w:rPr>
        <w:t>01_Data_Cleaning.ipynb — validation, cleanup, label columns, feature engineering</w:t>
      </w:r>
    </w:p>
    <w:p>
      <w:pPr>
        <w:pStyle w:val="ListBullet"/>
        <w:spacing w:after="80"/>
      </w:pPr>
      <w:r>
        <w:rPr>
          <w:color w:val="222222"/>
          <w:sz w:val="22"/>
        </w:rPr>
        <w:t>03_EDA_Patient.ipynb — exploratory analysis and statistical testing</w:t>
      </w:r>
    </w:p>
    <w:p>
      <w:pPr>
        <w:pStyle w:val="ListBullet"/>
        <w:spacing w:after="80"/>
      </w:pPr>
      <w:r>
        <w:rPr>
          <w:color w:val="222222"/>
          <w:sz w:val="22"/>
        </w:rPr>
        <w:t>04_Machine_Learning.ipynb — model training (5 algorithms)</w:t>
      </w:r>
    </w:p>
    <w:p>
      <w:pPr>
        <w:pStyle w:val="ListBullet"/>
        <w:spacing w:after="80"/>
      </w:pPr>
      <w:r>
        <w:rPr>
          <w:color w:val="222222"/>
          <w:sz w:val="22"/>
        </w:rPr>
        <w:t>05_Model_Evaluation.ipynb — model comparison, metrics, feature importance, final model selection</w:t>
      </w:r>
    </w:p>
    <w:p>
      <w:pPr>
        <w:spacing w:after="160"/>
      </w:pPr>
      <w:r>
        <w:rPr>
          <w:color w:val="222222"/>
          <w:sz w:val="22"/>
        </w:rPr>
        <w:t>Plus one deliverable outside the notebooks:</w:t>
      </w:r>
    </w:p>
    <w:p>
      <w:pPr>
        <w:pStyle w:val="ListBullet"/>
        <w:spacing w:after="80"/>
      </w:pPr>
      <w:r>
        <w:rPr>
          <w:color w:val="222222"/>
          <w:sz w:val="22"/>
        </w:rPr>
        <w:t>Asthma_Dashboard.xlsx — an interactive Excel dashboard with filters, KPIs, and 9 charts</w:t>
      </w:r>
    </w:p>
    <w:p>
      <w:pPr>
        <w:keepNext/>
        <w:spacing w:before="400" w:after="200"/>
      </w:pPr>
      <w:r>
        <w:rPr>
          <w:b/>
          <w:color w:val="1F4E78"/>
          <w:sz w:val="30"/>
        </w:rPr>
        <w:t>2. Dataset Description</w:t>
      </w:r>
    </w:p>
    <w:p>
      <w:pPr>
        <w:spacing w:after="160"/>
      </w:pPr>
      <w:r>
        <w:rPr>
          <w:color w:val="222222"/>
          <w:sz w:val="22"/>
        </w:rPr>
        <w:t>The raw dataset (“Asthma Disease Dataset”, patient-level) contains 2,392 patients identified by PatientID (5034–7425), with 29 columns spanning demographics, lifestyle, environmental and allergy exposure, medical history, clinical lung-function measurements, symptoms, and a binary Diagnosis outcome. The dataset is synthetic, generated for educational purposes by its author (Rabie El Kharoua), which is an important context for interpreting the modeling results in Section 5.</w:t>
      </w:r>
    </w:p>
    <w:p>
      <w:pPr>
        <w:keepNext/>
        <w:spacing w:before="200" w:after="120"/>
      </w:pPr>
      <w:r>
        <w:rPr>
          <w:b/>
          <w:color w:val="595959"/>
          <w:sz w:val="23"/>
        </w:rPr>
        <w:t>Field groups</w:t>
      </w:r>
    </w:p>
    <w:tbl>
      <w:tblPr>
        <w:tblW w:type="auto" w:w="0"/>
        <w:jc w:val="center"/>
        <w:tblLayout w:type="fixed"/>
        <w:tblLook w:firstColumn="1" w:firstRow="1" w:lastColumn="0" w:lastRow="0" w:noHBand="0" w:noVBand="1" w:val="04A0"/>
      </w:tblPr>
      <w:tblGrid>
        <w:gridCol w:w="5040"/>
        <w:gridCol w:w="5040"/>
      </w:tblGrid>
      <w:tr>
        <w:tc>
          <w:tcPr>
            <w:tcW w:type="dxa" w:w="2500"/>
            <w:shd w:fill="1F4E78"/>
            <w:tcMar>
              <w:top w:w="120" w:type="dxa"/>
              <w:bottom w:w="120" w:type="dxa"/>
              <w:left w:w="150" w:type="dxa"/>
              <w:right w:w="150" w:type="dxa"/>
            </w:tcMar>
          </w:tcPr>
          <w:p>
            <w:pPr>
              <w:spacing w:after="0"/>
            </w:pPr>
            <w:r>
              <w:rPr>
                <w:rFonts w:ascii="Arial" w:hAnsi="Arial"/>
                <w:b/>
                <w:color w:val="FFFFFF"/>
                <w:sz w:val="20"/>
              </w:rPr>
              <w:t>Group</w:t>
            </w:r>
          </w:p>
        </w:tc>
        <w:tc>
          <w:tcPr>
            <w:tcW w:type="dxa" w:w="6500"/>
            <w:shd w:fill="1F4E78"/>
            <w:tcMar>
              <w:top w:w="120" w:type="dxa"/>
              <w:bottom w:w="120" w:type="dxa"/>
              <w:left w:w="150" w:type="dxa"/>
              <w:right w:w="150" w:type="dxa"/>
            </w:tcMar>
          </w:tcPr>
          <w:p>
            <w:pPr>
              <w:spacing w:after="0"/>
            </w:pPr>
            <w:r>
              <w:rPr>
                <w:rFonts w:ascii="Arial" w:hAnsi="Arial"/>
                <w:b/>
                <w:color w:val="FFFFFF"/>
                <w:sz w:val="20"/>
              </w:rPr>
              <w:t>Fields</w:t>
            </w:r>
          </w:p>
        </w:tc>
      </w:tr>
      <w:tr>
        <w:tc>
          <w:tcPr>
            <w:tcW w:type="dxa" w:w="2500"/>
            <w:tcMar>
              <w:top w:w="100" w:type="dxa"/>
              <w:bottom w:w="100" w:type="dxa"/>
              <w:left w:w="150" w:type="dxa"/>
              <w:right w:w="150" w:type="dxa"/>
            </w:tcMar>
          </w:tcPr>
          <w:p>
            <w:pPr>
              <w:spacing w:after="0"/>
            </w:pPr>
            <w:r>
              <w:rPr>
                <w:rFonts w:ascii="Arial" w:hAnsi="Arial"/>
                <w:color w:val="333333"/>
                <w:sz w:val="20"/>
              </w:rPr>
              <w:t>Demographics</w:t>
            </w:r>
          </w:p>
        </w:tc>
        <w:tc>
          <w:tcPr>
            <w:tcW w:type="dxa" w:w="6500"/>
            <w:tcMar>
              <w:top w:w="100" w:type="dxa"/>
              <w:bottom w:w="100" w:type="dxa"/>
              <w:left w:w="150" w:type="dxa"/>
              <w:right w:w="150" w:type="dxa"/>
            </w:tcMar>
          </w:tcPr>
          <w:p>
            <w:pPr>
              <w:spacing w:after="0"/>
            </w:pPr>
            <w:r>
              <w:rPr>
                <w:rFonts w:ascii="Arial" w:hAnsi="Arial"/>
                <w:color w:val="333333"/>
                <w:sz w:val="20"/>
              </w:rPr>
              <w:t>Age, Gender, Ethnicity, EducationLevel</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Lifestyle</w:t>
            </w:r>
          </w:p>
        </w:tc>
        <w:tc>
          <w:tcPr>
            <w:tcW w:type="dxa" w:w="6500"/>
            <w:shd w:fill="F2F2F2"/>
            <w:tcMar>
              <w:top w:w="100" w:type="dxa"/>
              <w:bottom w:w="100" w:type="dxa"/>
              <w:left w:w="150" w:type="dxa"/>
              <w:right w:w="150" w:type="dxa"/>
            </w:tcMar>
          </w:tcPr>
          <w:p>
            <w:pPr>
              <w:spacing w:after="0"/>
            </w:pPr>
            <w:r>
              <w:rPr>
                <w:rFonts w:ascii="Arial" w:hAnsi="Arial"/>
                <w:color w:val="333333"/>
                <w:sz w:val="20"/>
              </w:rPr>
              <w:t>BMI, Smoking, PhysicalActivity, DietQuality, SleepQuality</w:t>
            </w:r>
          </w:p>
        </w:tc>
      </w:tr>
      <w:tr>
        <w:tc>
          <w:tcPr>
            <w:tcW w:type="dxa" w:w="2500"/>
            <w:tcMar>
              <w:top w:w="100" w:type="dxa"/>
              <w:bottom w:w="100" w:type="dxa"/>
              <w:left w:w="150" w:type="dxa"/>
              <w:right w:w="150" w:type="dxa"/>
            </w:tcMar>
          </w:tcPr>
          <w:p>
            <w:pPr>
              <w:spacing w:after="0"/>
            </w:pPr>
            <w:r>
              <w:rPr>
                <w:rFonts w:ascii="Arial" w:hAnsi="Arial"/>
                <w:color w:val="333333"/>
                <w:sz w:val="20"/>
              </w:rPr>
              <w:t>Environmental / Allergy</w:t>
            </w:r>
          </w:p>
        </w:tc>
        <w:tc>
          <w:tcPr>
            <w:tcW w:type="dxa" w:w="6500"/>
            <w:tcMar>
              <w:top w:w="100" w:type="dxa"/>
              <w:bottom w:w="100" w:type="dxa"/>
              <w:left w:w="150" w:type="dxa"/>
              <w:right w:w="150" w:type="dxa"/>
            </w:tcMar>
          </w:tcPr>
          <w:p>
            <w:pPr>
              <w:spacing w:after="0"/>
            </w:pPr>
            <w:r>
              <w:rPr>
                <w:rFonts w:ascii="Arial" w:hAnsi="Arial"/>
                <w:color w:val="333333"/>
                <w:sz w:val="20"/>
              </w:rPr>
              <w:t>PollutionExposure, PollenExposure, DustExposure, PetAllergy</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Medical History</w:t>
            </w:r>
          </w:p>
        </w:tc>
        <w:tc>
          <w:tcPr>
            <w:tcW w:type="dxa" w:w="6500"/>
            <w:shd w:fill="F2F2F2"/>
            <w:tcMar>
              <w:top w:w="100" w:type="dxa"/>
              <w:bottom w:w="100" w:type="dxa"/>
              <w:left w:w="150" w:type="dxa"/>
              <w:right w:w="150" w:type="dxa"/>
            </w:tcMar>
          </w:tcPr>
          <w:p>
            <w:pPr>
              <w:spacing w:after="0"/>
            </w:pPr>
            <w:r>
              <w:rPr>
                <w:rFonts w:ascii="Arial" w:hAnsi="Arial"/>
                <w:color w:val="333333"/>
                <w:sz w:val="20"/>
              </w:rPr>
              <w:t>FamilyHistoryAsthma, HistoryOfAllergies, Eczema, HayFever, GastroesophagealReflux</w:t>
            </w:r>
          </w:p>
        </w:tc>
      </w:tr>
      <w:tr>
        <w:tc>
          <w:tcPr>
            <w:tcW w:type="dxa" w:w="2500"/>
            <w:tcMar>
              <w:top w:w="100" w:type="dxa"/>
              <w:bottom w:w="100" w:type="dxa"/>
              <w:left w:w="150" w:type="dxa"/>
              <w:right w:w="150" w:type="dxa"/>
            </w:tcMar>
          </w:tcPr>
          <w:p>
            <w:pPr>
              <w:spacing w:after="0"/>
            </w:pPr>
            <w:r>
              <w:rPr>
                <w:rFonts w:ascii="Arial" w:hAnsi="Arial"/>
                <w:color w:val="333333"/>
                <w:sz w:val="20"/>
              </w:rPr>
              <w:t>Clinical Measurements</w:t>
            </w:r>
          </w:p>
        </w:tc>
        <w:tc>
          <w:tcPr>
            <w:tcW w:type="dxa" w:w="6500"/>
            <w:tcMar>
              <w:top w:w="100" w:type="dxa"/>
              <w:bottom w:w="100" w:type="dxa"/>
              <w:left w:w="150" w:type="dxa"/>
              <w:right w:w="150" w:type="dxa"/>
            </w:tcMar>
          </w:tcPr>
          <w:p>
            <w:pPr>
              <w:spacing w:after="0"/>
            </w:pPr>
            <w:r>
              <w:rPr>
                <w:rFonts w:ascii="Arial" w:hAnsi="Arial"/>
                <w:color w:val="333333"/>
                <w:sz w:val="20"/>
              </w:rPr>
              <w:t>LungFunctionFEV1, LungFunctionFVC</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Symptoms</w:t>
            </w:r>
          </w:p>
        </w:tc>
        <w:tc>
          <w:tcPr>
            <w:tcW w:type="dxa" w:w="6500"/>
            <w:shd w:fill="F2F2F2"/>
            <w:tcMar>
              <w:top w:w="100" w:type="dxa"/>
              <w:bottom w:w="100" w:type="dxa"/>
              <w:left w:w="150" w:type="dxa"/>
              <w:right w:w="150" w:type="dxa"/>
            </w:tcMar>
          </w:tcPr>
          <w:p>
            <w:pPr>
              <w:spacing w:after="0"/>
            </w:pPr>
            <w:r>
              <w:rPr>
                <w:rFonts w:ascii="Arial" w:hAnsi="Arial"/>
                <w:color w:val="333333"/>
                <w:sz w:val="20"/>
              </w:rPr>
              <w:t>Wheezing, ShortnessOfBreath, ChestTightness, Coughing, NighttimeSymptoms, ExerciseInduced</w:t>
            </w:r>
          </w:p>
        </w:tc>
      </w:tr>
      <w:tr>
        <w:tc>
          <w:tcPr>
            <w:tcW w:type="dxa" w:w="2500"/>
            <w:tcMar>
              <w:top w:w="100" w:type="dxa"/>
              <w:bottom w:w="100" w:type="dxa"/>
              <w:left w:w="150" w:type="dxa"/>
              <w:right w:w="150" w:type="dxa"/>
            </w:tcMar>
          </w:tcPr>
          <w:p>
            <w:pPr>
              <w:spacing w:after="0"/>
            </w:pPr>
            <w:r>
              <w:rPr>
                <w:rFonts w:ascii="Arial" w:hAnsi="Arial"/>
                <w:color w:val="333333"/>
                <w:sz w:val="20"/>
              </w:rPr>
              <w:t>Target</w:t>
            </w:r>
          </w:p>
        </w:tc>
        <w:tc>
          <w:tcPr>
            <w:tcW w:type="dxa" w:w="6500"/>
            <w:tcMar>
              <w:top w:w="100" w:type="dxa"/>
              <w:bottom w:w="100" w:type="dxa"/>
              <w:left w:w="150" w:type="dxa"/>
              <w:right w:w="150" w:type="dxa"/>
            </w:tcMar>
          </w:tcPr>
          <w:p>
            <w:pPr>
              <w:spacing w:after="0"/>
            </w:pPr>
            <w:r>
              <w:rPr>
                <w:rFonts w:ascii="Arial" w:hAnsi="Arial"/>
                <w:color w:val="333333"/>
                <w:sz w:val="20"/>
              </w:rPr>
              <w:t>Diagnosis (0 = Negative, 1 = Positive)</w:t>
            </w:r>
          </w:p>
        </w:tc>
      </w:tr>
    </w:tbl>
    <w:p>
      <w:pPr>
        <w:spacing w:after="240"/>
      </w:pPr>
    </w:p>
    <w:p>
      <w:pPr>
        <w:keepNext/>
        <w:spacing w:before="400" w:after="200"/>
      </w:pPr>
      <w:r>
        <w:rPr>
          <w:b/>
          <w:color w:val="1F4E78"/>
          <w:sz w:val="30"/>
        </w:rPr>
        <w:t>3. Data Cleaning — 01_Data_Cleaning.ipynb</w:t>
      </w:r>
    </w:p>
    <w:p>
      <w:pPr>
        <w:spacing w:after="160"/>
      </w:pPr>
      <w:r>
        <w:rPr>
          <w:color w:val="222222"/>
          <w:sz w:val="22"/>
        </w:rPr>
        <w:t>The raw data was already in good shape. The notebook performs these checks and steps:</w:t>
      </w:r>
    </w:p>
    <w:p>
      <w:pPr>
        <w:keepNext/>
        <w:spacing w:before="300" w:after="160"/>
      </w:pPr>
      <w:r>
        <w:rPr>
          <w:b/>
          <w:color w:val="1F4E78"/>
          <w:sz w:val="26"/>
        </w:rPr>
        <w:t>3.1 Quality checks (all passed)</w:t>
      </w:r>
    </w:p>
    <w:p>
      <w:pPr>
        <w:pStyle w:val="ListBullet"/>
        <w:spacing w:after="80"/>
      </w:pPr>
      <w:r>
        <w:rPr>
          <w:color w:val="222222"/>
          <w:sz w:val="22"/>
        </w:rPr>
        <w:t>Missing values: none found across all 29 columns</w:t>
      </w:r>
    </w:p>
    <w:p>
      <w:pPr>
        <w:pStyle w:val="ListBullet"/>
        <w:spacing w:after="80"/>
      </w:pPr>
      <w:r>
        <w:rPr>
          <w:color w:val="222222"/>
          <w:sz w:val="22"/>
        </w:rPr>
        <w:t>Duplicate rows / duplicate PatientIDs: none found</w:t>
      </w:r>
    </w:p>
    <w:p>
      <w:pPr>
        <w:pStyle w:val="ListBullet"/>
        <w:spacing w:after="80"/>
      </w:pPr>
      <w:r>
        <w:rPr>
          <w:color w:val="222222"/>
          <w:sz w:val="22"/>
        </w:rPr>
        <w:t>Range checks: Age, BMI, activity/quality scores, exposure scores, and lung-function values all fell within the documented ranges</w:t>
      </w:r>
    </w:p>
    <w:p>
      <w:pPr>
        <w:pStyle w:val="ListBullet"/>
        <w:spacing w:after="80"/>
      </w:pPr>
      <w:r>
        <w:rPr>
          <w:color w:val="222222"/>
          <w:sz w:val="22"/>
        </w:rPr>
        <w:t>Binary/categorical codes: Gender, Ethnicity, EducationLevel, and all Yes/No fields contained only the expected coded values</w:t>
      </w:r>
    </w:p>
    <w:p>
      <w:pPr>
        <w:keepNext/>
        <w:spacing w:before="300" w:after="160"/>
      </w:pPr>
      <w:r>
        <w:rPr>
          <w:b/>
          <w:color w:val="1F4E78"/>
          <w:sz w:val="26"/>
        </w:rPr>
        <w:t>3.2 Cleaning steps</w:t>
      </w:r>
    </w:p>
    <w:p>
      <w:pPr>
        <w:pStyle w:val="ListBullet"/>
        <w:spacing w:after="80"/>
      </w:pPr>
      <w:r>
        <w:rPr>
          <w:color w:val="222222"/>
          <w:sz w:val="22"/>
        </w:rPr>
        <w:t>Dropped DoctorInCharge — constant value (“Dr_Confid”) for every patient, confidential and non-informative</w:t>
      </w:r>
    </w:p>
    <w:p>
      <w:pPr>
        <w:pStyle w:val="ListBullet"/>
        <w:spacing w:after="80"/>
      </w:pPr>
      <w:r>
        <w:rPr>
          <w:color w:val="222222"/>
          <w:sz w:val="22"/>
        </w:rPr>
        <w:t>Added human-readable *_Label columns for every coded field (Gender_Label, Ethnicity_Label, EducationLevel_Label, and a Yes/No label for every binary field), used throughout the dashboard and charts</w:t>
      </w:r>
    </w:p>
    <w:p>
      <w:pPr>
        <w:pStyle w:val="ListBullet"/>
        <w:spacing w:after="80"/>
      </w:pPr>
      <w:r>
        <w:rPr>
          <w:color w:val="222222"/>
          <w:sz w:val="22"/>
        </w:rPr>
        <w:t>Rounded all float columns to 2 decimal places for readability</w:t>
      </w:r>
    </w:p>
    <w:p>
      <w:pPr>
        <w:keepNext/>
        <w:spacing w:before="300" w:after="160"/>
      </w:pPr>
      <w:r>
        <w:rPr>
          <w:b/>
          <w:color w:val="1F4E78"/>
          <w:sz w:val="26"/>
        </w:rPr>
        <w:t>3.3 Feature engineering</w:t>
      </w:r>
    </w:p>
    <w:tbl>
      <w:tblPr>
        <w:tblW w:type="auto" w:w="0"/>
        <w:jc w:val="center"/>
        <w:tblLayout w:type="fixed"/>
        <w:tblLook w:firstColumn="1" w:firstRow="1" w:lastColumn="0" w:lastRow="0" w:noHBand="0" w:noVBand="1" w:val="04A0"/>
      </w:tblPr>
      <w:tblGrid>
        <w:gridCol w:w="5040"/>
        <w:gridCol w:w="5040"/>
      </w:tblGrid>
      <w:tr>
        <w:tc>
          <w:tcPr>
            <w:tcW w:type="dxa" w:w="2500"/>
            <w:shd w:fill="1F4E78"/>
            <w:tcMar>
              <w:top w:w="120" w:type="dxa"/>
              <w:bottom w:w="120" w:type="dxa"/>
              <w:left w:w="150" w:type="dxa"/>
              <w:right w:w="150" w:type="dxa"/>
            </w:tcMar>
          </w:tcPr>
          <w:p>
            <w:pPr>
              <w:spacing w:after="0"/>
            </w:pPr>
            <w:r>
              <w:rPr>
                <w:rFonts w:ascii="Arial" w:hAnsi="Arial"/>
                <w:b/>
                <w:color w:val="FFFFFF"/>
                <w:sz w:val="20"/>
              </w:rPr>
              <w:t>New Field</w:t>
            </w:r>
          </w:p>
        </w:tc>
        <w:tc>
          <w:tcPr>
            <w:tcW w:type="dxa" w:w="6500"/>
            <w:shd w:fill="1F4E78"/>
            <w:tcMar>
              <w:top w:w="120" w:type="dxa"/>
              <w:bottom w:w="120" w:type="dxa"/>
              <w:left w:w="150" w:type="dxa"/>
              <w:right w:w="150" w:type="dxa"/>
            </w:tcMar>
          </w:tcPr>
          <w:p>
            <w:pPr>
              <w:spacing w:after="0"/>
            </w:pPr>
            <w:r>
              <w:rPr>
                <w:rFonts w:ascii="Arial" w:hAnsi="Arial"/>
                <w:b/>
                <w:color w:val="FFFFFF"/>
                <w:sz w:val="20"/>
              </w:rPr>
              <w:t>Definition</w:t>
            </w:r>
          </w:p>
        </w:tc>
      </w:tr>
      <w:tr>
        <w:tc>
          <w:tcPr>
            <w:tcW w:type="dxa" w:w="2500"/>
            <w:tcMar>
              <w:top w:w="100" w:type="dxa"/>
              <w:bottom w:w="100" w:type="dxa"/>
              <w:left w:w="150" w:type="dxa"/>
              <w:right w:w="150" w:type="dxa"/>
            </w:tcMar>
          </w:tcPr>
          <w:p>
            <w:pPr>
              <w:spacing w:after="0"/>
            </w:pPr>
            <w:r>
              <w:rPr>
                <w:rFonts w:ascii="Arial" w:hAnsi="Arial"/>
                <w:color w:val="333333"/>
                <w:sz w:val="20"/>
              </w:rPr>
              <w:t>AgeGroup</w:t>
            </w:r>
          </w:p>
        </w:tc>
        <w:tc>
          <w:tcPr>
            <w:tcW w:type="dxa" w:w="6500"/>
            <w:tcMar>
              <w:top w:w="100" w:type="dxa"/>
              <w:bottom w:w="100" w:type="dxa"/>
              <w:left w:w="150" w:type="dxa"/>
              <w:right w:w="150" w:type="dxa"/>
            </w:tcMar>
          </w:tcPr>
          <w:p>
            <w:pPr>
              <w:spacing w:after="0"/>
            </w:pPr>
            <w:r>
              <w:rPr>
                <w:rFonts w:ascii="Arial" w:hAnsi="Arial"/>
                <w:color w:val="333333"/>
                <w:sz w:val="20"/>
              </w:rPr>
              <w:t>0–17 (Child), 18–29, 30–44, 45–59, 60+</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BMICategory</w:t>
            </w:r>
          </w:p>
        </w:tc>
        <w:tc>
          <w:tcPr>
            <w:tcW w:type="dxa" w:w="6500"/>
            <w:shd w:fill="F2F2F2"/>
            <w:tcMar>
              <w:top w:w="100" w:type="dxa"/>
              <w:bottom w:w="100" w:type="dxa"/>
              <w:left w:w="150" w:type="dxa"/>
              <w:right w:w="150" w:type="dxa"/>
            </w:tcMar>
          </w:tcPr>
          <w:p>
            <w:pPr>
              <w:spacing w:after="0"/>
            </w:pPr>
            <w:r>
              <w:rPr>
                <w:rFonts w:ascii="Arial" w:hAnsi="Arial"/>
                <w:color w:val="333333"/>
                <w:sz w:val="20"/>
              </w:rPr>
              <w:t>Underweight (&lt;18.5), Normal (18.5–24.9), Overweight (25–29.9), Obese (30+)</w:t>
            </w:r>
          </w:p>
        </w:tc>
      </w:tr>
      <w:tr>
        <w:tc>
          <w:tcPr>
            <w:tcW w:type="dxa" w:w="2500"/>
            <w:tcMar>
              <w:top w:w="100" w:type="dxa"/>
              <w:bottom w:w="100" w:type="dxa"/>
              <w:left w:w="150" w:type="dxa"/>
              <w:right w:w="150" w:type="dxa"/>
            </w:tcMar>
          </w:tcPr>
          <w:p>
            <w:pPr>
              <w:spacing w:after="0"/>
            </w:pPr>
            <w:r>
              <w:rPr>
                <w:rFonts w:ascii="Arial" w:hAnsi="Arial"/>
                <w:color w:val="333333"/>
                <w:sz w:val="20"/>
              </w:rPr>
              <w:t>FEV1_FVC_Ratio</w:t>
            </w:r>
          </w:p>
        </w:tc>
        <w:tc>
          <w:tcPr>
            <w:tcW w:type="dxa" w:w="6500"/>
            <w:tcMar>
              <w:top w:w="100" w:type="dxa"/>
              <w:bottom w:w="100" w:type="dxa"/>
              <w:left w:w="150" w:type="dxa"/>
              <w:right w:w="150" w:type="dxa"/>
            </w:tcMar>
          </w:tcPr>
          <w:p>
            <w:pPr>
              <w:spacing w:after="0"/>
            </w:pPr>
            <w:r>
              <w:rPr>
                <w:rFonts w:ascii="Arial" w:hAnsi="Arial"/>
                <w:color w:val="333333"/>
                <w:sz w:val="20"/>
              </w:rPr>
              <w:t>LungFunctionFEV1 / LungFunctionFVC — a clinical marker of obstructive lung patterns</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SymptomCount</w:t>
            </w:r>
          </w:p>
        </w:tc>
        <w:tc>
          <w:tcPr>
            <w:tcW w:type="dxa" w:w="6500"/>
            <w:shd w:fill="F2F2F2"/>
            <w:tcMar>
              <w:top w:w="100" w:type="dxa"/>
              <w:bottom w:w="100" w:type="dxa"/>
              <w:left w:w="150" w:type="dxa"/>
              <w:right w:w="150" w:type="dxa"/>
            </w:tcMar>
          </w:tcPr>
          <w:p>
            <w:pPr>
              <w:spacing w:after="0"/>
            </w:pPr>
            <w:r>
              <w:rPr>
                <w:rFonts w:ascii="Arial" w:hAnsi="Arial"/>
                <w:color w:val="333333"/>
                <w:sz w:val="20"/>
              </w:rPr>
              <w:t>Sum of the 6 binary symptom flags (0–6)</w:t>
            </w:r>
          </w:p>
        </w:tc>
      </w:tr>
      <w:tr>
        <w:tc>
          <w:tcPr>
            <w:tcW w:type="dxa" w:w="2500"/>
            <w:tcMar>
              <w:top w:w="100" w:type="dxa"/>
              <w:bottom w:w="100" w:type="dxa"/>
              <w:left w:w="150" w:type="dxa"/>
              <w:right w:w="150" w:type="dxa"/>
            </w:tcMar>
          </w:tcPr>
          <w:p>
            <w:pPr>
              <w:spacing w:after="0"/>
            </w:pPr>
            <w:r>
              <w:rPr>
                <w:rFonts w:ascii="Arial" w:hAnsi="Arial"/>
                <w:color w:val="333333"/>
                <w:sz w:val="20"/>
              </w:rPr>
              <w:t>RiskFactorCount</w:t>
            </w:r>
          </w:p>
        </w:tc>
        <w:tc>
          <w:tcPr>
            <w:tcW w:type="dxa" w:w="6500"/>
            <w:tcMar>
              <w:top w:w="100" w:type="dxa"/>
              <w:bottom w:w="100" w:type="dxa"/>
              <w:left w:w="150" w:type="dxa"/>
              <w:right w:w="150" w:type="dxa"/>
            </w:tcMar>
          </w:tcPr>
          <w:p>
            <w:pPr>
              <w:spacing w:after="0"/>
            </w:pPr>
            <w:r>
              <w:rPr>
                <w:rFonts w:ascii="Arial" w:hAnsi="Arial"/>
                <w:color w:val="333333"/>
                <w:sz w:val="20"/>
              </w:rPr>
              <w:t>Sum of the 5 binary medical-history risk flags (0–5)</w:t>
            </w:r>
          </w:p>
        </w:tc>
      </w:tr>
    </w:tbl>
    <w:p>
      <w:pPr>
        <w:spacing w:after="240"/>
      </w:pPr>
    </w:p>
    <w:p>
      <w:pPr>
        <w:keepNext/>
        <w:spacing w:before="300" w:after="160"/>
      </w:pPr>
      <w:r>
        <w:rPr>
          <w:b/>
          <w:color w:val="1F4E78"/>
          <w:sz w:val="26"/>
        </w:rPr>
        <w:t>3.4 Output</w:t>
      </w:r>
    </w:p>
    <w:p>
      <w:pPr>
        <w:spacing w:after="160"/>
      </w:pPr>
      <w:r>
        <w:rPr>
          <w:color w:val="222222"/>
          <w:sz w:val="22"/>
        </w:rPr>
        <w:t>Final shape: 2,392 rows × 50 columns, zero nulls. Exported as asthma_cleaned.csv and asthma_cleaned.xlsx.</w:t>
      </w:r>
    </w:p>
    <w:p>
      <w:pPr>
        <w:keepNext/>
        <w:spacing w:before="400" w:after="200"/>
      </w:pPr>
      <w:r>
        <w:rPr>
          <w:b/>
          <w:color w:val="1F4E78"/>
          <w:sz w:val="30"/>
        </w:rPr>
        <w:t>4. Exploratory Data Analysis — 03_EDA_Patient.ipynb</w:t>
      </w:r>
    </w:p>
    <w:p>
      <w:pPr>
        <w:spacing w:after="160"/>
      </w:pPr>
      <w:r>
        <w:rPr>
          <w:color w:val="222222"/>
          <w:sz w:val="22"/>
        </w:rPr>
        <w:t>The EDA notebook examines the target variable, then each feature group, then runs formal statistical tests against Diagnosis.</w:t>
      </w:r>
    </w:p>
    <w:p>
      <w:pPr>
        <w:keepNext/>
        <w:spacing w:before="300" w:after="160"/>
      </w:pPr>
      <w:r>
        <w:rPr>
          <w:b/>
          <w:color w:val="1F4E78"/>
          <w:sz w:val="26"/>
        </w:rPr>
        <w:t>4.1 Target variable</w:t>
      </w:r>
    </w:p>
    <w:p>
      <w:pPr>
        <w:spacing w:after="160"/>
      </w:pPr>
      <w:r>
        <w:rPr>
          <w:color w:val="222222"/>
          <w:sz w:val="22"/>
        </w:rPr>
        <w:t>Diagnosis is heavily imbalanced: 124 positive cases out of 2,392 patients — a 5.18% positive rate. This shapes every modeling decision in Section 4.</w:t>
      </w:r>
    </w:p>
    <w:p>
      <w:pPr>
        <w:keepNext/>
        <w:spacing w:before="300" w:after="160"/>
      </w:pPr>
      <w:r>
        <w:rPr>
          <w:b/>
          <w:color w:val="1F4E78"/>
          <w:sz w:val="26"/>
        </w:rPr>
        <w:t>4.2 Diagnosis rate by age group</w:t>
      </w:r>
    </w:p>
    <w:tbl>
      <w:tblPr>
        <w:tblW w:type="auto" w:w="0"/>
        <w:jc w:val="center"/>
        <w:tblLayout w:type="fixed"/>
        <w:tblLook w:firstColumn="1" w:firstRow="1" w:lastColumn="0" w:lastRow="0" w:noHBand="0" w:noVBand="1" w:val="04A0"/>
      </w:tblPr>
      <w:tblGrid>
        <w:gridCol w:w="5040"/>
        <w:gridCol w:w="5040"/>
      </w:tblGrid>
      <w:tr>
        <w:tc>
          <w:tcPr>
            <w:tcW w:type="dxa" w:w="4500"/>
            <w:shd w:fill="1F4E78"/>
            <w:tcMar>
              <w:top w:w="120" w:type="dxa"/>
              <w:bottom w:w="120" w:type="dxa"/>
              <w:left w:w="150" w:type="dxa"/>
              <w:right w:w="150" w:type="dxa"/>
            </w:tcMar>
          </w:tcPr>
          <w:p>
            <w:pPr>
              <w:spacing w:after="0"/>
            </w:pPr>
            <w:r>
              <w:rPr>
                <w:rFonts w:ascii="Arial" w:hAnsi="Arial"/>
                <w:b/>
                <w:color w:val="FFFFFF"/>
                <w:sz w:val="20"/>
              </w:rPr>
              <w:t>Age Group</w:t>
            </w:r>
          </w:p>
        </w:tc>
        <w:tc>
          <w:tcPr>
            <w:tcW w:type="dxa" w:w="4500"/>
            <w:shd w:fill="1F4E78"/>
            <w:tcMar>
              <w:top w:w="120" w:type="dxa"/>
              <w:bottom w:w="120" w:type="dxa"/>
              <w:left w:w="150" w:type="dxa"/>
              <w:right w:w="150" w:type="dxa"/>
            </w:tcMar>
          </w:tcPr>
          <w:p>
            <w:pPr>
              <w:spacing w:after="0"/>
            </w:pPr>
            <w:r>
              <w:rPr>
                <w:rFonts w:ascii="Arial" w:hAnsi="Arial"/>
                <w:b/>
                <w:color w:val="FFFFFF"/>
                <w:sz w:val="20"/>
              </w:rPr>
              <w:t>Diagnosis Rate</w:t>
            </w:r>
          </w:p>
        </w:tc>
      </w:tr>
      <w:tr>
        <w:tc>
          <w:tcPr>
            <w:tcW w:type="dxa" w:w="4500"/>
            <w:tcMar>
              <w:top w:w="100" w:type="dxa"/>
              <w:bottom w:w="100" w:type="dxa"/>
              <w:left w:w="150" w:type="dxa"/>
              <w:right w:w="150" w:type="dxa"/>
            </w:tcMar>
          </w:tcPr>
          <w:p>
            <w:pPr>
              <w:spacing w:after="0"/>
            </w:pPr>
            <w:r>
              <w:rPr>
                <w:rFonts w:ascii="Arial" w:hAnsi="Arial"/>
                <w:color w:val="333333"/>
                <w:sz w:val="20"/>
              </w:rPr>
              <w:t>0–17 (Child)</w:t>
            </w:r>
          </w:p>
        </w:tc>
        <w:tc>
          <w:tcPr>
            <w:tcW w:type="dxa" w:w="4500"/>
            <w:tcMar>
              <w:top w:w="100" w:type="dxa"/>
              <w:bottom w:w="100" w:type="dxa"/>
              <w:left w:w="150" w:type="dxa"/>
              <w:right w:w="150" w:type="dxa"/>
            </w:tcMar>
          </w:tcPr>
          <w:p>
            <w:pPr>
              <w:spacing w:after="0"/>
            </w:pPr>
            <w:r>
              <w:rPr>
                <w:rFonts w:ascii="Arial" w:hAnsi="Arial"/>
                <w:color w:val="333333"/>
                <w:sz w:val="20"/>
              </w:rPr>
              <w:t>6.04%</w:t>
            </w:r>
          </w:p>
        </w:tc>
      </w:tr>
      <w:tr>
        <w:tc>
          <w:tcPr>
            <w:tcW w:type="dxa" w:w="4500"/>
            <w:shd w:fill="F2F2F2"/>
            <w:tcMar>
              <w:top w:w="100" w:type="dxa"/>
              <w:bottom w:w="100" w:type="dxa"/>
              <w:left w:w="150" w:type="dxa"/>
              <w:right w:w="150" w:type="dxa"/>
            </w:tcMar>
          </w:tcPr>
          <w:p>
            <w:pPr>
              <w:spacing w:after="0"/>
            </w:pPr>
            <w:r>
              <w:rPr>
                <w:rFonts w:ascii="Arial" w:hAnsi="Arial"/>
                <w:color w:val="333333"/>
                <w:sz w:val="20"/>
              </w:rPr>
              <w:t>18–29</w:t>
            </w:r>
          </w:p>
        </w:tc>
        <w:tc>
          <w:tcPr>
            <w:tcW w:type="dxa" w:w="4500"/>
            <w:shd w:fill="F2F2F2"/>
            <w:tcMar>
              <w:top w:w="100" w:type="dxa"/>
              <w:bottom w:w="100" w:type="dxa"/>
              <w:left w:w="150" w:type="dxa"/>
              <w:right w:w="150" w:type="dxa"/>
            </w:tcMar>
          </w:tcPr>
          <w:p>
            <w:pPr>
              <w:spacing w:after="0"/>
            </w:pPr>
            <w:r>
              <w:rPr>
                <w:rFonts w:ascii="Arial" w:hAnsi="Arial"/>
                <w:color w:val="333333"/>
                <w:sz w:val="20"/>
              </w:rPr>
              <w:t>5.24%</w:t>
            </w:r>
          </w:p>
        </w:tc>
      </w:tr>
      <w:tr>
        <w:tc>
          <w:tcPr>
            <w:tcW w:type="dxa" w:w="4500"/>
            <w:tcMar>
              <w:top w:w="100" w:type="dxa"/>
              <w:bottom w:w="100" w:type="dxa"/>
              <w:left w:w="150" w:type="dxa"/>
              <w:right w:w="150" w:type="dxa"/>
            </w:tcMar>
          </w:tcPr>
          <w:p>
            <w:pPr>
              <w:spacing w:after="0"/>
            </w:pPr>
            <w:r>
              <w:rPr>
                <w:rFonts w:ascii="Arial" w:hAnsi="Arial"/>
                <w:color w:val="333333"/>
                <w:sz w:val="20"/>
              </w:rPr>
              <w:t>30–44</w:t>
            </w:r>
          </w:p>
        </w:tc>
        <w:tc>
          <w:tcPr>
            <w:tcW w:type="dxa" w:w="4500"/>
            <w:tcMar>
              <w:top w:w="100" w:type="dxa"/>
              <w:bottom w:w="100" w:type="dxa"/>
              <w:left w:w="150" w:type="dxa"/>
              <w:right w:w="150" w:type="dxa"/>
            </w:tcMar>
          </w:tcPr>
          <w:p>
            <w:pPr>
              <w:spacing w:after="0"/>
            </w:pPr>
            <w:r>
              <w:rPr>
                <w:rFonts w:ascii="Arial" w:hAnsi="Arial"/>
                <w:color w:val="333333"/>
                <w:sz w:val="20"/>
              </w:rPr>
              <w:t>5.32%</w:t>
            </w:r>
          </w:p>
        </w:tc>
      </w:tr>
      <w:tr>
        <w:tc>
          <w:tcPr>
            <w:tcW w:type="dxa" w:w="4500"/>
            <w:shd w:fill="F2F2F2"/>
            <w:tcMar>
              <w:top w:w="100" w:type="dxa"/>
              <w:bottom w:w="100" w:type="dxa"/>
              <w:left w:w="150" w:type="dxa"/>
              <w:right w:w="150" w:type="dxa"/>
            </w:tcMar>
          </w:tcPr>
          <w:p>
            <w:pPr>
              <w:spacing w:after="0"/>
            </w:pPr>
            <w:r>
              <w:rPr>
                <w:rFonts w:ascii="Arial" w:hAnsi="Arial"/>
                <w:color w:val="333333"/>
                <w:sz w:val="20"/>
              </w:rPr>
              <w:t>45–59</w:t>
            </w:r>
          </w:p>
        </w:tc>
        <w:tc>
          <w:tcPr>
            <w:tcW w:type="dxa" w:w="4500"/>
            <w:shd w:fill="F2F2F2"/>
            <w:tcMar>
              <w:top w:w="100" w:type="dxa"/>
              <w:bottom w:w="100" w:type="dxa"/>
              <w:left w:w="150" w:type="dxa"/>
              <w:right w:w="150" w:type="dxa"/>
            </w:tcMar>
          </w:tcPr>
          <w:p>
            <w:pPr>
              <w:spacing w:after="0"/>
            </w:pPr>
            <w:r>
              <w:rPr>
                <w:rFonts w:ascii="Arial" w:hAnsi="Arial"/>
                <w:color w:val="333333"/>
                <w:sz w:val="20"/>
              </w:rPr>
              <w:t>3.95%</w:t>
            </w:r>
          </w:p>
        </w:tc>
      </w:tr>
      <w:tr>
        <w:tc>
          <w:tcPr>
            <w:tcW w:type="dxa" w:w="4500"/>
            <w:tcMar>
              <w:top w:w="100" w:type="dxa"/>
              <w:bottom w:w="100" w:type="dxa"/>
              <w:left w:w="150" w:type="dxa"/>
              <w:right w:w="150" w:type="dxa"/>
            </w:tcMar>
          </w:tcPr>
          <w:p>
            <w:pPr>
              <w:spacing w:after="0"/>
            </w:pPr>
            <w:r>
              <w:rPr>
                <w:rFonts w:ascii="Arial" w:hAnsi="Arial"/>
                <w:color w:val="333333"/>
                <w:sz w:val="20"/>
              </w:rPr>
              <w:t>60+</w:t>
            </w:r>
          </w:p>
        </w:tc>
        <w:tc>
          <w:tcPr>
            <w:tcW w:type="dxa" w:w="4500"/>
            <w:tcMar>
              <w:top w:w="100" w:type="dxa"/>
              <w:bottom w:w="100" w:type="dxa"/>
              <w:left w:w="150" w:type="dxa"/>
              <w:right w:w="150" w:type="dxa"/>
            </w:tcMar>
          </w:tcPr>
          <w:p>
            <w:pPr>
              <w:spacing w:after="0"/>
            </w:pPr>
            <w:r>
              <w:rPr>
                <w:rFonts w:ascii="Arial" w:hAnsi="Arial"/>
                <w:color w:val="333333"/>
                <w:sz w:val="20"/>
              </w:rPr>
              <w:t>5.43%</w:t>
            </w:r>
          </w:p>
        </w:tc>
      </w:tr>
    </w:tbl>
    <w:p>
      <w:pPr>
        <w:spacing w:after="240"/>
      </w:pPr>
    </w:p>
    <w:p>
      <w:pPr>
        <w:spacing w:after="240"/>
        <w:ind w:left="360"/>
        <w:pBdr>
          <w:left w:val="single" w:sz="12" w:space="8" w:color="BFBFBF"/>
        </w:pBdr>
      </w:pPr>
      <w:r>
        <w:rPr>
          <w:rFonts w:ascii="Arial" w:hAnsi="Arial"/>
          <w:i/>
          <w:color w:val="595959"/>
          <w:sz w:val="20"/>
        </w:rPr>
        <w:t>Rates are close to each other across all age groups — age alone does not strongly separate diagnosis outcomes in this dataset.</w:t>
      </w:r>
    </w:p>
    <w:p>
      <w:pPr>
        <w:keepNext/>
        <w:spacing w:before="300" w:after="160"/>
      </w:pPr>
      <w:r>
        <w:rPr>
          <w:b/>
          <w:color w:val="1F4E78"/>
          <w:sz w:val="26"/>
        </w:rPr>
        <w:t>4.3 Statistical testing</w:t>
      </w:r>
    </w:p>
    <w:p>
      <w:pPr>
        <w:spacing w:after="160"/>
      </w:pPr>
      <w:r>
        <w:rPr>
          <w:color w:val="222222"/>
          <w:sz w:val="22"/>
        </w:rPr>
        <w:t>Two types of tests were run against Diagnosis:</w:t>
      </w:r>
    </w:p>
    <w:p>
      <w:pPr>
        <w:pStyle w:val="ListBullet"/>
        <w:spacing w:after="80"/>
      </w:pPr>
      <w:r>
        <w:rPr>
          <w:color w:val="222222"/>
          <w:sz w:val="22"/>
        </w:rPr>
        <w:t>Welch's t-test for each of the 13 numeric features (comparing means between Positive and Negative patients)</w:t>
      </w:r>
    </w:p>
    <w:p>
      <w:pPr>
        <w:pStyle w:val="ListBullet"/>
        <w:spacing w:after="80"/>
      </w:pPr>
      <w:r>
        <w:rPr>
          <w:color w:val="222222"/>
          <w:sz w:val="22"/>
        </w:rPr>
        <w:t>Chi-square test of independence for each of the 18 categorical/binary features</w:t>
      </w:r>
    </w:p>
    <w:p>
      <w:pPr>
        <w:keepNext/>
        <w:spacing w:before="200" w:after="120"/>
      </w:pPr>
      <w:r>
        <w:rPr>
          <w:b/>
          <w:color w:val="595959"/>
          <w:sz w:val="23"/>
        </w:rPr>
        <w:t>T-test results — numeric features</w:t>
      </w:r>
    </w:p>
    <w:p>
      <w:pPr>
        <w:spacing w:after="160"/>
      </w:pPr>
      <w:r>
        <w:rPr>
          <w:color w:val="222222"/>
          <w:sz w:val="22"/>
        </w:rPr>
        <w:t>Result: 0 of 13 numeric features were statistically significant at p &lt; 0.05. The closest were: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800"/>
            <w:shd w:fill="1F4E78"/>
            <w:tcMar>
              <w:top w:w="120" w:type="dxa"/>
              <w:bottom w:w="120" w:type="dxa"/>
              <w:left w:w="150" w:type="dxa"/>
              <w:right w:w="150" w:type="dxa"/>
            </w:tcMar>
          </w:tcPr>
          <w:p>
            <w:pPr>
              <w:spacing w:after="0"/>
            </w:pPr>
            <w:r>
              <w:rPr>
                <w:rFonts w:ascii="Arial" w:hAnsi="Arial"/>
                <w:b/>
                <w:color w:val="FFFFFF"/>
                <w:sz w:val="20"/>
              </w:rPr>
              <w:t>Feature</w:t>
            </w:r>
          </w:p>
        </w:tc>
        <w:tc>
          <w:tcPr>
            <w:tcW w:type="dxa" w:w="2100"/>
            <w:shd w:fill="1F4E78"/>
            <w:tcMar>
              <w:top w:w="120" w:type="dxa"/>
              <w:bottom w:w="120" w:type="dxa"/>
              <w:left w:w="150" w:type="dxa"/>
              <w:right w:w="150" w:type="dxa"/>
            </w:tcMar>
          </w:tcPr>
          <w:p>
            <w:pPr>
              <w:spacing w:after="0"/>
            </w:pPr>
            <w:r>
              <w:rPr>
                <w:rFonts w:ascii="Arial" w:hAnsi="Arial"/>
                <w:b/>
                <w:color w:val="FFFFFF"/>
                <w:sz w:val="20"/>
              </w:rPr>
              <w:t>Mean (Positive)</w:t>
            </w:r>
          </w:p>
        </w:tc>
        <w:tc>
          <w:tcPr>
            <w:tcW w:type="dxa" w:w="2100"/>
            <w:shd w:fill="1F4E78"/>
            <w:tcMar>
              <w:top w:w="120" w:type="dxa"/>
              <w:bottom w:w="120" w:type="dxa"/>
              <w:left w:w="150" w:type="dxa"/>
              <w:right w:w="150" w:type="dxa"/>
            </w:tcMar>
          </w:tcPr>
          <w:p>
            <w:pPr>
              <w:spacing w:after="0"/>
            </w:pPr>
            <w:r>
              <w:rPr>
                <w:rFonts w:ascii="Arial" w:hAnsi="Arial"/>
                <w:b/>
                <w:color w:val="FFFFFF"/>
                <w:sz w:val="20"/>
              </w:rPr>
              <w:t>Mean (Negative)</w:t>
            </w:r>
          </w:p>
        </w:tc>
        <w:tc>
          <w:tcPr>
            <w:tcW w:type="dxa" w:w="2000"/>
            <w:shd w:fill="1F4E78"/>
            <w:tcMar>
              <w:top w:w="120" w:type="dxa"/>
              <w:bottom w:w="120" w:type="dxa"/>
              <w:left w:w="150" w:type="dxa"/>
              <w:right w:w="150" w:type="dxa"/>
            </w:tcMar>
          </w:tcPr>
          <w:p>
            <w:pPr>
              <w:spacing w:after="0"/>
            </w:pPr>
            <w:r>
              <w:rPr>
                <w:rFonts w:ascii="Arial" w:hAnsi="Arial"/>
                <w:b/>
                <w:color w:val="FFFFFF"/>
                <w:sz w:val="20"/>
              </w:rPr>
              <w:t>p-value</w:t>
            </w:r>
          </w:p>
        </w:tc>
      </w:tr>
      <w:tr>
        <w:tc>
          <w:tcPr>
            <w:tcW w:type="dxa" w:w="2800"/>
            <w:tcMar>
              <w:top w:w="100" w:type="dxa"/>
              <w:bottom w:w="100" w:type="dxa"/>
              <w:left w:w="150" w:type="dxa"/>
              <w:right w:w="150" w:type="dxa"/>
            </w:tcMar>
          </w:tcPr>
          <w:p>
            <w:pPr>
              <w:spacing w:after="0"/>
            </w:pPr>
            <w:r>
              <w:rPr>
                <w:rFonts w:ascii="Arial" w:hAnsi="Arial"/>
                <w:color w:val="333333"/>
                <w:sz w:val="20"/>
              </w:rPr>
              <w:t>LungFunctionFVC</w:t>
            </w:r>
          </w:p>
        </w:tc>
        <w:tc>
          <w:tcPr>
            <w:tcW w:type="dxa" w:w="2100"/>
            <w:tcMar>
              <w:top w:w="100" w:type="dxa"/>
              <w:bottom w:w="100" w:type="dxa"/>
              <w:left w:w="150" w:type="dxa"/>
              <w:right w:w="150" w:type="dxa"/>
            </w:tcMar>
          </w:tcPr>
          <w:p>
            <w:pPr>
              <w:spacing w:after="0"/>
            </w:pPr>
            <w:r>
              <w:rPr>
                <w:rFonts w:ascii="Arial" w:hAnsi="Arial"/>
                <w:color w:val="333333"/>
                <w:sz w:val="20"/>
              </w:rPr>
              <w:t>3.906</w:t>
            </w:r>
          </w:p>
        </w:tc>
        <w:tc>
          <w:tcPr>
            <w:tcW w:type="dxa" w:w="2100"/>
            <w:tcMar>
              <w:top w:w="100" w:type="dxa"/>
              <w:bottom w:w="100" w:type="dxa"/>
              <w:left w:w="150" w:type="dxa"/>
              <w:right w:w="150" w:type="dxa"/>
            </w:tcMar>
          </w:tcPr>
          <w:p>
            <w:pPr>
              <w:spacing w:after="0"/>
            </w:pPr>
            <w:r>
              <w:rPr>
                <w:rFonts w:ascii="Arial" w:hAnsi="Arial"/>
                <w:color w:val="333333"/>
                <w:sz w:val="20"/>
              </w:rPr>
              <w:t>3.732</w:t>
            </w:r>
          </w:p>
        </w:tc>
        <w:tc>
          <w:tcPr>
            <w:tcW w:type="dxa" w:w="2000"/>
            <w:tcMar>
              <w:top w:w="100" w:type="dxa"/>
              <w:bottom w:w="100" w:type="dxa"/>
              <w:left w:w="150" w:type="dxa"/>
              <w:right w:w="150" w:type="dxa"/>
            </w:tcMar>
          </w:tcPr>
          <w:p>
            <w:pPr>
              <w:spacing w:after="0"/>
            </w:pPr>
            <w:r>
              <w:rPr>
                <w:rFonts w:ascii="Arial" w:hAnsi="Arial"/>
                <w:color w:val="333333"/>
                <w:sz w:val="20"/>
              </w:rPr>
              <w:t>0.152</w:t>
            </w:r>
          </w:p>
        </w:tc>
      </w:tr>
      <w:tr>
        <w:tc>
          <w:tcPr>
            <w:tcW w:type="dxa" w:w="2800"/>
            <w:shd w:fill="F2F2F2"/>
            <w:tcMar>
              <w:top w:w="100" w:type="dxa"/>
              <w:bottom w:w="100" w:type="dxa"/>
              <w:left w:w="150" w:type="dxa"/>
              <w:right w:w="150" w:type="dxa"/>
            </w:tcMar>
          </w:tcPr>
          <w:p>
            <w:pPr>
              <w:spacing w:after="0"/>
            </w:pPr>
            <w:r>
              <w:rPr>
                <w:rFonts w:ascii="Arial" w:hAnsi="Arial"/>
                <w:color w:val="333333"/>
                <w:sz w:val="20"/>
              </w:rPr>
              <w:t>DustExposure</w:t>
            </w:r>
          </w:p>
        </w:tc>
        <w:tc>
          <w:tcPr>
            <w:tcW w:type="dxa" w:w="2100"/>
            <w:shd w:fill="F2F2F2"/>
            <w:tcMar>
              <w:top w:w="100" w:type="dxa"/>
              <w:bottom w:w="100" w:type="dxa"/>
              <w:left w:w="150" w:type="dxa"/>
              <w:right w:w="150" w:type="dxa"/>
            </w:tcMar>
          </w:tcPr>
          <w:p>
            <w:pPr>
              <w:spacing w:after="0"/>
            </w:pPr>
            <w:r>
              <w:rPr>
                <w:rFonts w:ascii="Arial" w:hAnsi="Arial"/>
                <w:color w:val="333333"/>
                <w:sz w:val="20"/>
              </w:rPr>
              <w:t>4.664</w:t>
            </w:r>
          </w:p>
        </w:tc>
        <w:tc>
          <w:tcPr>
            <w:tcW w:type="dxa" w:w="2100"/>
            <w:shd w:fill="F2F2F2"/>
            <w:tcMar>
              <w:top w:w="100" w:type="dxa"/>
              <w:bottom w:w="100" w:type="dxa"/>
              <w:left w:w="150" w:type="dxa"/>
              <w:right w:w="150" w:type="dxa"/>
            </w:tcMar>
          </w:tcPr>
          <w:p>
            <w:pPr>
              <w:spacing w:after="0"/>
            </w:pPr>
            <w:r>
              <w:rPr>
                <w:rFonts w:ascii="Arial" w:hAnsi="Arial"/>
                <w:color w:val="333333"/>
                <w:sz w:val="20"/>
              </w:rPr>
              <w:t>4.999</w:t>
            </w:r>
          </w:p>
        </w:tc>
        <w:tc>
          <w:tcPr>
            <w:tcW w:type="dxa" w:w="2000"/>
            <w:shd w:fill="F2F2F2"/>
            <w:tcMar>
              <w:top w:w="100" w:type="dxa"/>
              <w:bottom w:w="100" w:type="dxa"/>
              <w:left w:w="150" w:type="dxa"/>
              <w:right w:w="150" w:type="dxa"/>
            </w:tcMar>
          </w:tcPr>
          <w:p>
            <w:pPr>
              <w:spacing w:after="0"/>
            </w:pPr>
            <w:r>
              <w:rPr>
                <w:rFonts w:ascii="Arial" w:hAnsi="Arial"/>
                <w:color w:val="333333"/>
                <w:sz w:val="20"/>
              </w:rPr>
              <w:t>0.200</w:t>
            </w:r>
          </w:p>
        </w:tc>
      </w:tr>
      <w:tr>
        <w:tc>
          <w:tcPr>
            <w:tcW w:type="dxa" w:w="2800"/>
            <w:tcMar>
              <w:top w:w="100" w:type="dxa"/>
              <w:bottom w:w="100" w:type="dxa"/>
              <w:left w:w="150" w:type="dxa"/>
              <w:right w:w="150" w:type="dxa"/>
            </w:tcMar>
          </w:tcPr>
          <w:p>
            <w:pPr>
              <w:spacing w:after="0"/>
            </w:pPr>
            <w:r>
              <w:rPr>
                <w:rFonts w:ascii="Arial" w:hAnsi="Arial"/>
                <w:color w:val="333333"/>
                <w:sz w:val="20"/>
              </w:rPr>
              <w:t>LungFunctionFEV1</w:t>
            </w:r>
          </w:p>
        </w:tc>
        <w:tc>
          <w:tcPr>
            <w:tcW w:type="dxa" w:w="2100"/>
            <w:tcMar>
              <w:top w:w="100" w:type="dxa"/>
              <w:bottom w:w="100" w:type="dxa"/>
              <w:left w:w="150" w:type="dxa"/>
              <w:right w:w="150" w:type="dxa"/>
            </w:tcMar>
          </w:tcPr>
          <w:p>
            <w:pPr>
              <w:spacing w:after="0"/>
            </w:pPr>
            <w:r>
              <w:rPr>
                <w:rFonts w:ascii="Arial" w:hAnsi="Arial"/>
                <w:color w:val="333333"/>
                <w:sz w:val="20"/>
              </w:rPr>
              <w:t>2.635</w:t>
            </w:r>
          </w:p>
        </w:tc>
        <w:tc>
          <w:tcPr>
            <w:tcW w:type="dxa" w:w="2100"/>
            <w:tcMar>
              <w:top w:w="100" w:type="dxa"/>
              <w:bottom w:w="100" w:type="dxa"/>
              <w:left w:w="150" w:type="dxa"/>
              <w:right w:w="150" w:type="dxa"/>
            </w:tcMar>
          </w:tcPr>
          <w:p>
            <w:pPr>
              <w:spacing w:after="0"/>
            </w:pPr>
            <w:r>
              <w:rPr>
                <w:rFonts w:ascii="Arial" w:hAnsi="Arial"/>
                <w:color w:val="333333"/>
                <w:sz w:val="20"/>
              </w:rPr>
              <w:t>2.544</w:t>
            </w:r>
          </w:p>
        </w:tc>
        <w:tc>
          <w:tcPr>
            <w:tcW w:type="dxa" w:w="2000"/>
            <w:tcMar>
              <w:top w:w="100" w:type="dxa"/>
              <w:bottom w:w="100" w:type="dxa"/>
              <w:left w:w="150" w:type="dxa"/>
              <w:right w:w="150" w:type="dxa"/>
            </w:tcMar>
          </w:tcPr>
          <w:p>
            <w:pPr>
              <w:spacing w:after="0"/>
            </w:pPr>
            <w:r>
              <w:rPr>
                <w:rFonts w:ascii="Arial" w:hAnsi="Arial"/>
                <w:color w:val="333333"/>
                <w:sz w:val="20"/>
              </w:rPr>
              <w:t>0.230</w:t>
            </w:r>
          </w:p>
        </w:tc>
      </w:tr>
      <w:tr>
        <w:tc>
          <w:tcPr>
            <w:tcW w:type="dxa" w:w="2800"/>
            <w:shd w:fill="F2F2F2"/>
            <w:tcMar>
              <w:top w:w="100" w:type="dxa"/>
              <w:bottom w:w="100" w:type="dxa"/>
              <w:left w:w="150" w:type="dxa"/>
              <w:right w:w="150" w:type="dxa"/>
            </w:tcMar>
          </w:tcPr>
          <w:p>
            <w:pPr>
              <w:spacing w:after="0"/>
            </w:pPr>
            <w:r>
              <w:rPr>
                <w:rFonts w:ascii="Arial" w:hAnsi="Arial"/>
                <w:color w:val="333333"/>
                <w:sz w:val="20"/>
              </w:rPr>
              <w:t>SleepQuality</w:t>
            </w:r>
          </w:p>
        </w:tc>
        <w:tc>
          <w:tcPr>
            <w:tcW w:type="dxa" w:w="2100"/>
            <w:shd w:fill="F2F2F2"/>
            <w:tcMar>
              <w:top w:w="100" w:type="dxa"/>
              <w:bottom w:w="100" w:type="dxa"/>
              <w:left w:w="150" w:type="dxa"/>
              <w:right w:w="150" w:type="dxa"/>
            </w:tcMar>
          </w:tcPr>
          <w:p>
            <w:pPr>
              <w:spacing w:after="0"/>
            </w:pPr>
            <w:r>
              <w:rPr>
                <w:rFonts w:ascii="Arial" w:hAnsi="Arial"/>
                <w:color w:val="333333"/>
                <w:sz w:val="20"/>
              </w:rPr>
              <w:t>7.153</w:t>
            </w:r>
          </w:p>
        </w:tc>
        <w:tc>
          <w:tcPr>
            <w:tcW w:type="dxa" w:w="2100"/>
            <w:shd w:fill="F2F2F2"/>
            <w:tcMar>
              <w:top w:w="100" w:type="dxa"/>
              <w:bottom w:w="100" w:type="dxa"/>
              <w:left w:w="150" w:type="dxa"/>
              <w:right w:w="150" w:type="dxa"/>
            </w:tcMar>
          </w:tcPr>
          <w:p>
            <w:pPr>
              <w:spacing w:after="0"/>
            </w:pPr>
            <w:r>
              <w:rPr>
                <w:rFonts w:ascii="Arial" w:hAnsi="Arial"/>
                <w:color w:val="333333"/>
                <w:sz w:val="20"/>
              </w:rPr>
              <w:t>7.012</w:t>
            </w:r>
          </w:p>
        </w:tc>
        <w:tc>
          <w:tcPr>
            <w:tcW w:type="dxa" w:w="2000"/>
            <w:shd w:fill="F2F2F2"/>
            <w:tcMar>
              <w:top w:w="100" w:type="dxa"/>
              <w:bottom w:w="100" w:type="dxa"/>
              <w:left w:w="150" w:type="dxa"/>
              <w:right w:w="150" w:type="dxa"/>
            </w:tcMar>
          </w:tcPr>
          <w:p>
            <w:pPr>
              <w:spacing w:after="0"/>
            </w:pPr>
            <w:r>
              <w:rPr>
                <w:rFonts w:ascii="Arial" w:hAnsi="Arial"/>
                <w:color w:val="333333"/>
                <w:sz w:val="20"/>
              </w:rPr>
              <w:t>0.371</w:t>
            </w:r>
          </w:p>
        </w:tc>
      </w:tr>
      <w:tr>
        <w:tc>
          <w:tcPr>
            <w:tcW w:type="dxa" w:w="2800"/>
            <w:tcMar>
              <w:top w:w="100" w:type="dxa"/>
              <w:bottom w:w="100" w:type="dxa"/>
              <w:left w:w="150" w:type="dxa"/>
              <w:right w:w="150" w:type="dxa"/>
            </w:tcMar>
          </w:tcPr>
          <w:p>
            <w:pPr>
              <w:spacing w:after="0"/>
            </w:pPr>
            <w:r>
              <w:rPr>
                <w:rFonts w:ascii="Arial" w:hAnsi="Arial"/>
                <w:color w:val="333333"/>
                <w:sz w:val="20"/>
              </w:rPr>
              <w:t>PollenExposure</w:t>
            </w:r>
          </w:p>
        </w:tc>
        <w:tc>
          <w:tcPr>
            <w:tcW w:type="dxa" w:w="2100"/>
            <w:tcMar>
              <w:top w:w="100" w:type="dxa"/>
              <w:bottom w:w="100" w:type="dxa"/>
              <w:left w:w="150" w:type="dxa"/>
              <w:right w:w="150" w:type="dxa"/>
            </w:tcMar>
          </w:tcPr>
          <w:p>
            <w:pPr>
              <w:spacing w:after="0"/>
            </w:pPr>
            <w:r>
              <w:rPr>
                <w:rFonts w:ascii="Arial" w:hAnsi="Arial"/>
                <w:color w:val="333333"/>
                <w:sz w:val="20"/>
              </w:rPr>
              <w:t>5.301</w:t>
            </w:r>
          </w:p>
        </w:tc>
        <w:tc>
          <w:tcPr>
            <w:tcW w:type="dxa" w:w="2100"/>
            <w:tcMar>
              <w:top w:w="100" w:type="dxa"/>
              <w:bottom w:w="100" w:type="dxa"/>
              <w:left w:w="150" w:type="dxa"/>
              <w:right w:w="150" w:type="dxa"/>
            </w:tcMar>
          </w:tcPr>
          <w:p>
            <w:pPr>
              <w:spacing w:after="0"/>
            </w:pPr>
            <w:r>
              <w:rPr>
                <w:rFonts w:ascii="Arial" w:hAnsi="Arial"/>
                <w:color w:val="333333"/>
                <w:sz w:val="20"/>
              </w:rPr>
              <w:t>5.104</w:t>
            </w:r>
          </w:p>
        </w:tc>
        <w:tc>
          <w:tcPr>
            <w:tcW w:type="dxa" w:w="2000"/>
            <w:tcMar>
              <w:top w:w="100" w:type="dxa"/>
              <w:bottom w:w="100" w:type="dxa"/>
              <w:left w:w="150" w:type="dxa"/>
              <w:right w:w="150" w:type="dxa"/>
            </w:tcMar>
          </w:tcPr>
          <w:p>
            <w:pPr>
              <w:spacing w:after="0"/>
            </w:pPr>
            <w:r>
              <w:rPr>
                <w:rFonts w:ascii="Arial" w:hAnsi="Arial"/>
                <w:color w:val="333333"/>
                <w:sz w:val="20"/>
              </w:rPr>
              <w:t>0.454</w:t>
            </w:r>
          </w:p>
        </w:tc>
      </w:tr>
    </w:tbl>
    <w:p>
      <w:pPr>
        <w:spacing w:after="240"/>
      </w:pPr>
    </w:p>
    <w:p>
      <w:pPr>
        <w:keepNext/>
        <w:spacing w:before="200" w:after="120"/>
      </w:pPr>
      <w:r>
        <w:rPr>
          <w:b/>
          <w:color w:val="595959"/>
          <w:sz w:val="23"/>
        </w:rPr>
        <w:t>Chi-square results — categorical features</w:t>
      </w:r>
    </w:p>
    <w:p>
      <w:pPr>
        <w:spacing w:after="160"/>
      </w:pPr>
      <w:r>
        <w:rPr>
          <w:color w:val="222222"/>
          <w:sz w:val="22"/>
        </w:rPr>
        <w:t>Result: 2 of 18 categorical features were statistically significant at p &lt; 0.05:</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3500"/>
            <w:shd w:fill="1F4E78"/>
            <w:tcMar>
              <w:top w:w="120" w:type="dxa"/>
              <w:bottom w:w="120" w:type="dxa"/>
              <w:left w:w="150" w:type="dxa"/>
              <w:right w:w="150" w:type="dxa"/>
            </w:tcMar>
          </w:tcPr>
          <w:p>
            <w:pPr>
              <w:spacing w:after="0"/>
            </w:pPr>
            <w:r>
              <w:rPr>
                <w:rFonts w:ascii="Arial" w:hAnsi="Arial"/>
                <w:b/>
                <w:color w:val="FFFFFF"/>
                <w:sz w:val="20"/>
              </w:rPr>
              <w:t>Feature</w:t>
            </w:r>
          </w:p>
        </w:tc>
        <w:tc>
          <w:tcPr>
            <w:tcW w:type="dxa" w:w="1800"/>
            <w:shd w:fill="1F4E78"/>
            <w:tcMar>
              <w:top w:w="120" w:type="dxa"/>
              <w:bottom w:w="120" w:type="dxa"/>
              <w:left w:w="150" w:type="dxa"/>
              <w:right w:w="150" w:type="dxa"/>
            </w:tcMar>
          </w:tcPr>
          <w:p>
            <w:pPr>
              <w:spacing w:after="0"/>
            </w:pPr>
            <w:r>
              <w:rPr>
                <w:rFonts w:ascii="Arial" w:hAnsi="Arial"/>
                <w:b/>
                <w:color w:val="FFFFFF"/>
                <w:sz w:val="20"/>
              </w:rPr>
              <w:t>Chi²</w:t>
            </w:r>
          </w:p>
        </w:tc>
        <w:tc>
          <w:tcPr>
            <w:tcW w:type="dxa" w:w="1800"/>
            <w:shd w:fill="1F4E78"/>
            <w:tcMar>
              <w:top w:w="120" w:type="dxa"/>
              <w:bottom w:w="120" w:type="dxa"/>
              <w:left w:w="150" w:type="dxa"/>
              <w:right w:w="150" w:type="dxa"/>
            </w:tcMar>
          </w:tcPr>
          <w:p>
            <w:pPr>
              <w:spacing w:after="0"/>
            </w:pPr>
            <w:r>
              <w:rPr>
                <w:rFonts w:ascii="Arial" w:hAnsi="Arial"/>
                <w:b/>
                <w:color w:val="FFFFFF"/>
                <w:sz w:val="20"/>
              </w:rPr>
              <w:t>p-value</w:t>
            </w:r>
          </w:p>
        </w:tc>
        <w:tc>
          <w:tcPr>
            <w:tcW w:type="dxa" w:w="1900"/>
            <w:shd w:fill="1F4E78"/>
            <w:tcMar>
              <w:top w:w="120" w:type="dxa"/>
              <w:bottom w:w="120" w:type="dxa"/>
              <w:left w:w="150" w:type="dxa"/>
              <w:right w:w="150" w:type="dxa"/>
            </w:tcMar>
          </w:tcPr>
          <w:p>
            <w:pPr>
              <w:spacing w:after="0"/>
            </w:pPr>
            <w:r>
              <w:rPr>
                <w:rFonts w:ascii="Arial" w:hAnsi="Arial"/>
                <w:b/>
                <w:color w:val="FFFFFF"/>
                <w:sz w:val="20"/>
              </w:rPr>
              <w:t>Significant</w:t>
            </w:r>
          </w:p>
        </w:tc>
      </w:tr>
      <w:tr>
        <w:tc>
          <w:tcPr>
            <w:tcW w:type="dxa" w:w="3500"/>
            <w:tcMar>
              <w:top w:w="100" w:type="dxa"/>
              <w:bottom w:w="100" w:type="dxa"/>
              <w:left w:w="150" w:type="dxa"/>
              <w:right w:w="150" w:type="dxa"/>
            </w:tcMar>
          </w:tcPr>
          <w:p>
            <w:pPr>
              <w:spacing w:after="0"/>
            </w:pPr>
            <w:r>
              <w:rPr>
                <w:rFonts w:ascii="Arial" w:hAnsi="Arial"/>
                <w:color w:val="333333"/>
                <w:sz w:val="20"/>
              </w:rPr>
              <w:t>ExerciseInduced_Label</w:t>
            </w:r>
          </w:p>
        </w:tc>
        <w:tc>
          <w:tcPr>
            <w:tcW w:type="dxa" w:w="1800"/>
            <w:tcMar>
              <w:top w:w="100" w:type="dxa"/>
              <w:bottom w:w="100" w:type="dxa"/>
              <w:left w:w="150" w:type="dxa"/>
              <w:right w:w="150" w:type="dxa"/>
            </w:tcMar>
          </w:tcPr>
          <w:p>
            <w:pPr>
              <w:spacing w:after="0"/>
            </w:pPr>
            <w:r>
              <w:rPr>
                <w:rFonts w:ascii="Arial" w:hAnsi="Arial"/>
                <w:color w:val="333333"/>
                <w:sz w:val="20"/>
              </w:rPr>
              <w:t>6.475</w:t>
            </w:r>
          </w:p>
        </w:tc>
        <w:tc>
          <w:tcPr>
            <w:tcW w:type="dxa" w:w="1800"/>
            <w:tcMar>
              <w:top w:w="100" w:type="dxa"/>
              <w:bottom w:w="100" w:type="dxa"/>
              <w:left w:w="150" w:type="dxa"/>
              <w:right w:w="150" w:type="dxa"/>
            </w:tcMar>
          </w:tcPr>
          <w:p>
            <w:pPr>
              <w:spacing w:after="0"/>
            </w:pPr>
            <w:r>
              <w:rPr>
                <w:rFonts w:ascii="Arial" w:hAnsi="Arial"/>
                <w:color w:val="333333"/>
                <w:sz w:val="20"/>
              </w:rPr>
              <w:t>0.0109</w:t>
            </w:r>
          </w:p>
        </w:tc>
        <w:tc>
          <w:tcPr>
            <w:tcW w:type="dxa" w:w="1900"/>
            <w:tcMar>
              <w:top w:w="100" w:type="dxa"/>
              <w:bottom w:w="100" w:type="dxa"/>
              <w:left w:w="150" w:type="dxa"/>
              <w:right w:w="150" w:type="dxa"/>
            </w:tcMar>
          </w:tcPr>
          <w:p>
            <w:pPr>
              <w:spacing w:after="0"/>
            </w:pPr>
            <w:r>
              <w:rPr>
                <w:rFonts w:ascii="Arial" w:hAnsi="Arial"/>
                <w:color w:val="333333"/>
                <w:sz w:val="20"/>
              </w:rPr>
              <w:t>Yes</w:t>
            </w:r>
          </w:p>
        </w:tc>
      </w:tr>
      <w:tr>
        <w:tc>
          <w:tcPr>
            <w:tcW w:type="dxa" w:w="3500"/>
            <w:shd w:fill="F2F2F2"/>
            <w:tcMar>
              <w:top w:w="100" w:type="dxa"/>
              <w:bottom w:w="100" w:type="dxa"/>
              <w:left w:w="150" w:type="dxa"/>
              <w:right w:w="150" w:type="dxa"/>
            </w:tcMar>
          </w:tcPr>
          <w:p>
            <w:pPr>
              <w:spacing w:after="0"/>
            </w:pPr>
            <w:r>
              <w:rPr>
                <w:rFonts w:ascii="Arial" w:hAnsi="Arial"/>
                <w:color w:val="333333"/>
                <w:sz w:val="20"/>
              </w:rPr>
              <w:t>EducationLevel_Label</w:t>
            </w:r>
          </w:p>
        </w:tc>
        <w:tc>
          <w:tcPr>
            <w:tcW w:type="dxa" w:w="1800"/>
            <w:shd w:fill="F2F2F2"/>
            <w:tcMar>
              <w:top w:w="100" w:type="dxa"/>
              <w:bottom w:w="100" w:type="dxa"/>
              <w:left w:w="150" w:type="dxa"/>
              <w:right w:w="150" w:type="dxa"/>
            </w:tcMar>
          </w:tcPr>
          <w:p>
            <w:pPr>
              <w:spacing w:after="0"/>
            </w:pPr>
            <w:r>
              <w:rPr>
                <w:rFonts w:ascii="Arial" w:hAnsi="Arial"/>
                <w:color w:val="333333"/>
                <w:sz w:val="20"/>
              </w:rPr>
              <w:t>7.053</w:t>
            </w:r>
          </w:p>
        </w:tc>
        <w:tc>
          <w:tcPr>
            <w:tcW w:type="dxa" w:w="1800"/>
            <w:shd w:fill="F2F2F2"/>
            <w:tcMar>
              <w:top w:w="100" w:type="dxa"/>
              <w:bottom w:w="100" w:type="dxa"/>
              <w:left w:w="150" w:type="dxa"/>
              <w:right w:w="150" w:type="dxa"/>
            </w:tcMar>
          </w:tcPr>
          <w:p>
            <w:pPr>
              <w:spacing w:after="0"/>
            </w:pPr>
            <w:r>
              <w:rPr>
                <w:rFonts w:ascii="Arial" w:hAnsi="Arial"/>
                <w:color w:val="333333"/>
                <w:sz w:val="20"/>
              </w:rPr>
              <w:t>0.0294</w:t>
            </w:r>
          </w:p>
        </w:tc>
        <w:tc>
          <w:tcPr>
            <w:tcW w:type="dxa" w:w="1900"/>
            <w:shd w:fill="F2F2F2"/>
            <w:tcMar>
              <w:top w:w="100" w:type="dxa"/>
              <w:bottom w:w="100" w:type="dxa"/>
              <w:left w:w="150" w:type="dxa"/>
              <w:right w:w="150" w:type="dxa"/>
            </w:tcMar>
          </w:tcPr>
          <w:p>
            <w:pPr>
              <w:spacing w:after="0"/>
            </w:pPr>
            <w:r>
              <w:rPr>
                <w:rFonts w:ascii="Arial" w:hAnsi="Arial"/>
                <w:color w:val="333333"/>
                <w:sz w:val="20"/>
              </w:rPr>
              <w:t>Yes</w:t>
            </w:r>
          </w:p>
        </w:tc>
      </w:tr>
      <w:tr>
        <w:tc>
          <w:tcPr>
            <w:tcW w:type="dxa" w:w="3500"/>
            <w:tcMar>
              <w:top w:w="100" w:type="dxa"/>
              <w:bottom w:w="100" w:type="dxa"/>
              <w:left w:w="150" w:type="dxa"/>
              <w:right w:w="150" w:type="dxa"/>
            </w:tcMar>
          </w:tcPr>
          <w:p>
            <w:pPr>
              <w:spacing w:after="0"/>
            </w:pPr>
            <w:r>
              <w:rPr>
                <w:rFonts w:ascii="Arial" w:hAnsi="Arial"/>
                <w:color w:val="333333"/>
                <w:sz w:val="20"/>
              </w:rPr>
              <w:t>ChestTightness_Label</w:t>
            </w:r>
          </w:p>
        </w:tc>
        <w:tc>
          <w:tcPr>
            <w:tcW w:type="dxa" w:w="1800"/>
            <w:tcMar>
              <w:top w:w="100" w:type="dxa"/>
              <w:bottom w:w="100" w:type="dxa"/>
              <w:left w:w="150" w:type="dxa"/>
              <w:right w:w="150" w:type="dxa"/>
            </w:tcMar>
          </w:tcPr>
          <w:p>
            <w:pPr>
              <w:spacing w:after="0"/>
            </w:pPr>
            <w:r>
              <w:rPr>
                <w:rFonts w:ascii="Arial" w:hAnsi="Arial"/>
                <w:color w:val="333333"/>
                <w:sz w:val="20"/>
              </w:rPr>
              <w:t>3.345</w:t>
            </w:r>
          </w:p>
        </w:tc>
        <w:tc>
          <w:tcPr>
            <w:tcW w:type="dxa" w:w="1800"/>
            <w:tcMar>
              <w:top w:w="100" w:type="dxa"/>
              <w:bottom w:w="100" w:type="dxa"/>
              <w:left w:w="150" w:type="dxa"/>
              <w:right w:w="150" w:type="dxa"/>
            </w:tcMar>
          </w:tcPr>
          <w:p>
            <w:pPr>
              <w:spacing w:after="0"/>
            </w:pPr>
            <w:r>
              <w:rPr>
                <w:rFonts w:ascii="Arial" w:hAnsi="Arial"/>
                <w:color w:val="333333"/>
                <w:sz w:val="20"/>
              </w:rPr>
              <w:t>0.0674</w:t>
            </w:r>
          </w:p>
        </w:tc>
        <w:tc>
          <w:tcPr>
            <w:tcW w:type="dxa" w:w="1900"/>
            <w:tcMar>
              <w:top w:w="100" w:type="dxa"/>
              <w:bottom w:w="100" w:type="dxa"/>
              <w:left w:w="150" w:type="dxa"/>
              <w:right w:w="150" w:type="dxa"/>
            </w:tcMar>
          </w:tcPr>
          <w:p>
            <w:pPr>
              <w:spacing w:after="0"/>
            </w:pPr>
            <w:r>
              <w:rPr>
                <w:rFonts w:ascii="Arial" w:hAnsi="Arial"/>
                <w:color w:val="333333"/>
                <w:sz w:val="20"/>
              </w:rPr>
              <w:t>No</w:t>
            </w:r>
          </w:p>
        </w:tc>
      </w:tr>
      <w:tr>
        <w:tc>
          <w:tcPr>
            <w:tcW w:type="dxa" w:w="3500"/>
            <w:shd w:fill="F2F2F2"/>
            <w:tcMar>
              <w:top w:w="100" w:type="dxa"/>
              <w:bottom w:w="100" w:type="dxa"/>
              <w:left w:w="150" w:type="dxa"/>
              <w:right w:w="150" w:type="dxa"/>
            </w:tcMar>
          </w:tcPr>
          <w:p>
            <w:pPr>
              <w:spacing w:after="0"/>
            </w:pPr>
            <w:r>
              <w:rPr>
                <w:rFonts w:ascii="Arial" w:hAnsi="Arial"/>
                <w:color w:val="333333"/>
                <w:sz w:val="20"/>
              </w:rPr>
              <w:t>Wheezing_Label</w:t>
            </w:r>
          </w:p>
        </w:tc>
        <w:tc>
          <w:tcPr>
            <w:tcW w:type="dxa" w:w="1800"/>
            <w:shd w:fill="F2F2F2"/>
            <w:tcMar>
              <w:top w:w="100" w:type="dxa"/>
              <w:bottom w:w="100" w:type="dxa"/>
              <w:left w:w="150" w:type="dxa"/>
              <w:right w:w="150" w:type="dxa"/>
            </w:tcMar>
          </w:tcPr>
          <w:p>
            <w:pPr>
              <w:spacing w:after="0"/>
            </w:pPr>
            <w:r>
              <w:rPr>
                <w:rFonts w:ascii="Arial" w:hAnsi="Arial"/>
                <w:color w:val="333333"/>
                <w:sz w:val="20"/>
              </w:rPr>
              <w:t>1.528</w:t>
            </w:r>
          </w:p>
        </w:tc>
        <w:tc>
          <w:tcPr>
            <w:tcW w:type="dxa" w:w="1800"/>
            <w:shd w:fill="F2F2F2"/>
            <w:tcMar>
              <w:top w:w="100" w:type="dxa"/>
              <w:bottom w:w="100" w:type="dxa"/>
              <w:left w:w="150" w:type="dxa"/>
              <w:right w:w="150" w:type="dxa"/>
            </w:tcMar>
          </w:tcPr>
          <w:p>
            <w:pPr>
              <w:spacing w:after="0"/>
            </w:pPr>
            <w:r>
              <w:rPr>
                <w:rFonts w:ascii="Arial" w:hAnsi="Arial"/>
                <w:color w:val="333333"/>
                <w:sz w:val="20"/>
              </w:rPr>
              <w:t>0.2164</w:t>
            </w:r>
          </w:p>
        </w:tc>
        <w:tc>
          <w:tcPr>
            <w:tcW w:type="dxa" w:w="1900"/>
            <w:shd w:fill="F2F2F2"/>
            <w:tcMar>
              <w:top w:w="100" w:type="dxa"/>
              <w:bottom w:w="100" w:type="dxa"/>
              <w:left w:w="150" w:type="dxa"/>
              <w:right w:w="150" w:type="dxa"/>
            </w:tcMar>
          </w:tcPr>
          <w:p>
            <w:pPr>
              <w:spacing w:after="0"/>
            </w:pPr>
            <w:r>
              <w:rPr>
                <w:rFonts w:ascii="Arial" w:hAnsi="Arial"/>
                <w:color w:val="333333"/>
                <w:sz w:val="20"/>
              </w:rPr>
              <w:t>No</w:t>
            </w:r>
          </w:p>
        </w:tc>
      </w:tr>
    </w:tbl>
    <w:p>
      <w:pPr>
        <w:spacing w:after="240"/>
      </w:pPr>
    </w:p>
    <w:p>
      <w:pPr>
        <w:keepNext/>
        <w:spacing w:before="300" w:after="160"/>
      </w:pPr>
      <w:r>
        <w:rPr>
          <w:b/>
          <w:color w:val="1F4E78"/>
          <w:sz w:val="26"/>
        </w:rPr>
        <w:t>4.4 Key EDA takeaway</w:t>
      </w:r>
    </w:p>
    <w:p>
      <w:pPr>
        <w:spacing w:after="240"/>
        <w:ind w:left="360"/>
        <w:pBdr>
          <w:left w:val="single" w:sz="12" w:space="8" w:color="BFBFBF"/>
        </w:pBdr>
      </w:pPr>
      <w:r>
        <w:rPr>
          <w:rFonts w:ascii="Arial" w:hAnsi="Arial"/>
          <w:i/>
          <w:color w:val="595959"/>
          <w:sz w:val="20"/>
        </w:rPr>
        <w:t>Almost no feature shows a strong univariate relationship with Diagnosis. This is consistent with the dataset being synthetic, and it directly predicts that simple models will struggle to separate the two classes — confirmed in Section 5.</w:t>
      </w:r>
    </w:p>
    <w:p>
      <w:pPr>
        <w:keepNext/>
        <w:spacing w:before="400" w:after="200"/>
      </w:pPr>
      <w:r>
        <w:rPr>
          <w:b/>
          <w:color w:val="1F4E78"/>
          <w:sz w:val="30"/>
        </w:rPr>
        <w:t>5. Machine Learning — 04_Machine_Learning.ipynb</w:t>
      </w:r>
    </w:p>
    <w:p>
      <w:pPr>
        <w:spacing w:after="160"/>
      </w:pPr>
      <w:r>
        <w:rPr>
          <w:color w:val="222222"/>
          <w:sz w:val="22"/>
        </w:rPr>
        <w:t>Five classification algorithms were trained to predict Diagnosis from the remaining patient features (PatientID and all *_Label columns excluded to avoid duplicating information already present in their numeric-coded counterparts).</w:t>
      </w:r>
    </w:p>
    <w:p>
      <w:pPr>
        <w:keepNext/>
        <w:spacing w:before="300" w:after="160"/>
      </w:pPr>
      <w:r>
        <w:rPr>
          <w:b/>
          <w:color w:val="1F4E78"/>
          <w:sz w:val="26"/>
        </w:rPr>
        <w:t>5.1 Algorithms</w:t>
      </w:r>
    </w:p>
    <w:tbl>
      <w:tblPr>
        <w:tblW w:type="auto" w:w="0"/>
        <w:jc w:val="center"/>
        <w:tblLayout w:type="fixed"/>
        <w:tblLook w:firstColumn="1" w:firstRow="1" w:lastColumn="0" w:lastRow="0" w:noHBand="0" w:noVBand="1" w:val="04A0"/>
      </w:tblPr>
      <w:tblGrid>
        <w:gridCol w:w="5040"/>
        <w:gridCol w:w="5040"/>
      </w:tblGrid>
      <w:tr>
        <w:tc>
          <w:tcPr>
            <w:tcW w:type="dxa" w:w="2500"/>
            <w:shd w:fill="1F4E78"/>
            <w:tcMar>
              <w:top w:w="120" w:type="dxa"/>
              <w:bottom w:w="120" w:type="dxa"/>
              <w:left w:w="150" w:type="dxa"/>
              <w:right w:w="150" w:type="dxa"/>
            </w:tcMar>
          </w:tcPr>
          <w:p>
            <w:pPr>
              <w:spacing w:after="0"/>
            </w:pPr>
            <w:r>
              <w:rPr>
                <w:rFonts w:ascii="Arial" w:hAnsi="Arial"/>
                <w:b/>
                <w:color w:val="FFFFFF"/>
                <w:sz w:val="20"/>
              </w:rPr>
              <w:t>Algorithm</w:t>
            </w:r>
          </w:p>
        </w:tc>
        <w:tc>
          <w:tcPr>
            <w:tcW w:type="dxa" w:w="6500"/>
            <w:shd w:fill="1F4E78"/>
            <w:tcMar>
              <w:top w:w="120" w:type="dxa"/>
              <w:bottom w:w="120" w:type="dxa"/>
              <w:left w:w="150" w:type="dxa"/>
              <w:right w:w="150" w:type="dxa"/>
            </w:tcMar>
          </w:tcPr>
          <w:p>
            <w:pPr>
              <w:spacing w:after="0"/>
            </w:pPr>
            <w:r>
              <w:rPr>
                <w:rFonts w:ascii="Arial" w:hAnsi="Arial"/>
                <w:b/>
                <w:color w:val="FFFFFF"/>
                <w:sz w:val="20"/>
              </w:rPr>
              <w:t>Key settings</w:t>
            </w:r>
          </w:p>
        </w:tc>
      </w:tr>
      <w:tr>
        <w:tc>
          <w:tcPr>
            <w:tcW w:type="dxa" w:w="2500"/>
            <w:tcMar>
              <w:top w:w="100" w:type="dxa"/>
              <w:bottom w:w="100" w:type="dxa"/>
              <w:left w:w="150" w:type="dxa"/>
              <w:right w:w="150" w:type="dxa"/>
            </w:tcMar>
          </w:tcPr>
          <w:p>
            <w:pPr>
              <w:spacing w:after="0"/>
            </w:pPr>
            <w:r>
              <w:rPr>
                <w:rFonts w:ascii="Arial" w:hAnsi="Arial"/>
                <w:color w:val="333333"/>
                <w:sz w:val="20"/>
              </w:rPr>
              <w:t>Logistic Regression</w:t>
            </w:r>
          </w:p>
        </w:tc>
        <w:tc>
          <w:tcPr>
            <w:tcW w:type="dxa" w:w="6500"/>
            <w:tcMar>
              <w:top w:w="100" w:type="dxa"/>
              <w:bottom w:w="100" w:type="dxa"/>
              <w:left w:w="150" w:type="dxa"/>
              <w:right w:w="150" w:type="dxa"/>
            </w:tcMar>
          </w:tcPr>
          <w:p>
            <w:pPr>
              <w:spacing w:after="0"/>
            </w:pPr>
            <w:r>
              <w:rPr>
                <w:rFonts w:ascii="Arial" w:hAnsi="Arial"/>
                <w:color w:val="333333"/>
                <w:sz w:val="20"/>
              </w:rPr>
              <w:t>class_weight='balanced', max_iter=1000, on scaled features</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Decision Tree</w:t>
            </w:r>
          </w:p>
        </w:tc>
        <w:tc>
          <w:tcPr>
            <w:tcW w:type="dxa" w:w="6500"/>
            <w:shd w:fill="F2F2F2"/>
            <w:tcMar>
              <w:top w:w="100" w:type="dxa"/>
              <w:bottom w:w="100" w:type="dxa"/>
              <w:left w:w="150" w:type="dxa"/>
              <w:right w:w="150" w:type="dxa"/>
            </w:tcMar>
          </w:tcPr>
          <w:p>
            <w:pPr>
              <w:spacing w:after="0"/>
            </w:pPr>
            <w:r>
              <w:rPr>
                <w:rFonts w:ascii="Arial" w:hAnsi="Arial"/>
                <w:color w:val="333333"/>
                <w:sz w:val="20"/>
              </w:rPr>
              <w:t>class_weight='balanced', max_depth=6, min_samples_leaf=10</w:t>
            </w:r>
          </w:p>
        </w:tc>
      </w:tr>
      <w:tr>
        <w:tc>
          <w:tcPr>
            <w:tcW w:type="dxa" w:w="2500"/>
            <w:tcMar>
              <w:top w:w="100" w:type="dxa"/>
              <w:bottom w:w="100" w:type="dxa"/>
              <w:left w:w="150" w:type="dxa"/>
              <w:right w:w="150" w:type="dxa"/>
            </w:tcMar>
          </w:tcPr>
          <w:p>
            <w:pPr>
              <w:spacing w:after="0"/>
            </w:pPr>
            <w:r>
              <w:rPr>
                <w:rFonts w:ascii="Arial" w:hAnsi="Arial"/>
                <w:color w:val="333333"/>
                <w:sz w:val="20"/>
              </w:rPr>
              <w:t>Random Forest</w:t>
            </w:r>
          </w:p>
        </w:tc>
        <w:tc>
          <w:tcPr>
            <w:tcW w:type="dxa" w:w="6500"/>
            <w:tcMar>
              <w:top w:w="100" w:type="dxa"/>
              <w:bottom w:w="100" w:type="dxa"/>
              <w:left w:w="150" w:type="dxa"/>
              <w:right w:w="150" w:type="dxa"/>
            </w:tcMar>
          </w:tcPr>
          <w:p>
            <w:pPr>
              <w:spacing w:after="0"/>
            </w:pPr>
            <w:r>
              <w:rPr>
                <w:rFonts w:ascii="Arial" w:hAnsi="Arial"/>
                <w:color w:val="333333"/>
                <w:sz w:val="20"/>
              </w:rPr>
              <w:t>300 trees, max_depth=8, min_samples_leaf=5, class_weight='balanced'</w:t>
            </w:r>
          </w:p>
        </w:tc>
      </w:tr>
      <w:tr>
        <w:tc>
          <w:tcPr>
            <w:tcW w:type="dxa" w:w="2500"/>
            <w:shd w:fill="F2F2F2"/>
            <w:tcMar>
              <w:top w:w="100" w:type="dxa"/>
              <w:bottom w:w="100" w:type="dxa"/>
              <w:left w:w="150" w:type="dxa"/>
              <w:right w:w="150" w:type="dxa"/>
            </w:tcMar>
          </w:tcPr>
          <w:p>
            <w:pPr>
              <w:spacing w:after="0"/>
            </w:pPr>
            <w:r>
              <w:rPr>
                <w:rFonts w:ascii="Arial" w:hAnsi="Arial"/>
                <w:color w:val="333333"/>
                <w:sz w:val="20"/>
              </w:rPr>
              <w:t>XGBoost</w:t>
            </w:r>
          </w:p>
        </w:tc>
        <w:tc>
          <w:tcPr>
            <w:tcW w:type="dxa" w:w="6500"/>
            <w:shd w:fill="F2F2F2"/>
            <w:tcMar>
              <w:top w:w="100" w:type="dxa"/>
              <w:bottom w:w="100" w:type="dxa"/>
              <w:left w:w="150" w:type="dxa"/>
              <w:right w:w="150" w:type="dxa"/>
            </w:tcMar>
          </w:tcPr>
          <w:p>
            <w:pPr>
              <w:spacing w:after="0"/>
            </w:pPr>
            <w:r>
              <w:rPr>
                <w:rFonts w:ascii="Arial" w:hAnsi="Arial"/>
                <w:color w:val="333333"/>
                <w:sz w:val="20"/>
              </w:rPr>
              <w:t>300 estimators, max_depth=4, learning_rate=0.05, scale_pos_weight≈of class ratio</w:t>
            </w:r>
          </w:p>
        </w:tc>
      </w:tr>
      <w:tr>
        <w:tc>
          <w:tcPr>
            <w:tcW w:type="dxa" w:w="2500"/>
            <w:tcMar>
              <w:top w:w="100" w:type="dxa"/>
              <w:bottom w:w="100" w:type="dxa"/>
              <w:left w:w="150" w:type="dxa"/>
              <w:right w:w="150" w:type="dxa"/>
            </w:tcMar>
          </w:tcPr>
          <w:p>
            <w:pPr>
              <w:spacing w:after="0"/>
            </w:pPr>
            <w:r>
              <w:rPr>
                <w:rFonts w:ascii="Arial" w:hAnsi="Arial"/>
                <w:color w:val="333333"/>
                <w:sz w:val="20"/>
              </w:rPr>
              <w:t>SVM (RBF kernel)</w:t>
            </w:r>
          </w:p>
        </w:tc>
        <w:tc>
          <w:tcPr>
            <w:tcW w:type="dxa" w:w="6500"/>
            <w:tcMar>
              <w:top w:w="100" w:type="dxa"/>
              <w:bottom w:w="100" w:type="dxa"/>
              <w:left w:w="150" w:type="dxa"/>
              <w:right w:w="150" w:type="dxa"/>
            </w:tcMar>
          </w:tcPr>
          <w:p>
            <w:pPr>
              <w:spacing w:after="0"/>
            </w:pPr>
            <w:r>
              <w:rPr>
                <w:rFonts w:ascii="Arial" w:hAnsi="Arial"/>
                <w:color w:val="333333"/>
                <w:sz w:val="20"/>
              </w:rPr>
              <w:t>class_weight='balanced', probability=True, on scaled features</w:t>
            </w:r>
          </w:p>
        </w:tc>
      </w:tr>
    </w:tbl>
    <w:p>
      <w:pPr>
        <w:spacing w:after="240"/>
      </w:pPr>
    </w:p>
    <w:p>
      <w:pPr>
        <w:keepNext/>
        <w:spacing w:before="300" w:after="160"/>
      </w:pPr>
      <w:r>
        <w:rPr>
          <w:b/>
          <w:color w:val="1F4E78"/>
          <w:sz w:val="26"/>
        </w:rPr>
        <w:t>5.2 Handling class imbalance</w:t>
      </w:r>
    </w:p>
    <w:p>
      <w:pPr>
        <w:spacing w:after="160"/>
      </w:pPr>
      <w:r>
        <w:rPr>
          <w:color w:val="222222"/>
          <w:sz w:val="22"/>
        </w:rPr>
        <w:t>Rather than oversampling (e.g. SMOTE) on a dataset this small, every model uses class-weighting (class_weight='balanced' or XGBoost's scale_pos_weight) so the rare positive class contributes proportionally more to the loss function, without altering the original 2,392 rows.</w:t>
      </w:r>
    </w:p>
    <w:p>
      <w:pPr>
        <w:keepNext/>
        <w:spacing w:before="300" w:after="160"/>
      </w:pPr>
      <w:r>
        <w:rPr>
          <w:b/>
          <w:color w:val="1F4E78"/>
          <w:sz w:val="26"/>
        </w:rPr>
        <w:t>5.3 Train/test split</w:t>
      </w:r>
    </w:p>
    <w:p>
      <w:pPr>
        <w:spacing w:after="160"/>
      </w:pPr>
      <w:r>
        <w:rPr>
          <w:color w:val="222222"/>
          <w:sz w:val="22"/>
        </w:rPr>
        <w:t>Stratified 80/20 split (test_size=0.2, stratify=y, random_state=42), preserving the ~5.2% positive rate in both the training and test sets. Features were scaled with StandardScaler for the two distance/gradient-sensitive models (Logistic Regression, SVM); tree-based models used unscaled features.</w:t>
      </w:r>
    </w:p>
    <w:p>
      <w:pPr>
        <w:keepNext/>
        <w:spacing w:before="300" w:after="160"/>
      </w:pPr>
      <w:r>
        <w:rPr>
          <w:b/>
          <w:color w:val="1F4E78"/>
          <w:sz w:val="26"/>
        </w:rPr>
        <w:t>5.4 Outputs</w:t>
      </w:r>
    </w:p>
    <w:p>
      <w:pPr>
        <w:spacing w:after="160"/>
      </w:pPr>
      <w:r>
        <w:rPr>
          <w:color w:val="222222"/>
          <w:sz w:val="22"/>
        </w:rPr>
        <w:t>All five trained models, the scaler, and the train/test splits (both scaled and unscaled) were saved to models/ for reuse in the evaluation notebook, without needing to retrain.</w:t>
      </w:r>
    </w:p>
    <w:p>
      <w:pPr>
        <w:keepNext/>
        <w:spacing w:before="400" w:after="200"/>
      </w:pPr>
      <w:r>
        <w:rPr>
          <w:b/>
          <w:color w:val="1F4E78"/>
          <w:sz w:val="30"/>
        </w:rPr>
        <w:t>6. Model Evaluation — 05_Model_Evaluation.ipynb</w:t>
      </w:r>
    </w:p>
    <w:p>
      <w:pPr>
        <w:spacing w:after="160"/>
      </w:pPr>
      <w:r>
        <w:rPr>
          <w:color w:val="222222"/>
          <w:sz w:val="22"/>
        </w:rPr>
        <w:t>Because Diagnosis is imbalanced, accuracy alone is misleading — a model predicting “Negative” for every patient would already score about 95% accuracy while catching zero true cases. This notebook leads with ROC-AUC, Precision, Recall, and F1, evaluated on the untouched 20% test set.</w:t>
      </w:r>
    </w:p>
    <w:p>
      <w:pPr>
        <w:keepNext/>
        <w:spacing w:before="300" w:after="160"/>
      </w:pPr>
      <w:r>
        <w:rPr>
          <w:b/>
          <w:color w:val="1F4E78"/>
          <w:sz w:val="26"/>
        </w:rPr>
        <w:t>6.1 Test-set metric comparison</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200"/>
            <w:shd w:fill="1F4E78"/>
            <w:tcMar>
              <w:top w:w="120" w:type="dxa"/>
              <w:bottom w:w="120" w:type="dxa"/>
              <w:left w:w="150" w:type="dxa"/>
              <w:right w:w="150" w:type="dxa"/>
            </w:tcMar>
          </w:tcPr>
          <w:p>
            <w:pPr>
              <w:spacing w:after="0"/>
            </w:pPr>
            <w:r>
              <w:rPr>
                <w:rFonts w:ascii="Arial" w:hAnsi="Arial"/>
                <w:b/>
                <w:color w:val="FFFFFF"/>
                <w:sz w:val="20"/>
              </w:rPr>
              <w:t>Model</w:t>
            </w:r>
          </w:p>
        </w:tc>
        <w:tc>
          <w:tcPr>
            <w:tcW w:type="dxa" w:w="1250"/>
            <w:shd w:fill="1F4E78"/>
            <w:tcMar>
              <w:top w:w="120" w:type="dxa"/>
              <w:bottom w:w="120" w:type="dxa"/>
              <w:left w:w="150" w:type="dxa"/>
              <w:right w:w="150" w:type="dxa"/>
            </w:tcMar>
          </w:tcPr>
          <w:p>
            <w:pPr>
              <w:spacing w:after="0"/>
            </w:pPr>
            <w:r>
              <w:rPr>
                <w:rFonts w:ascii="Arial" w:hAnsi="Arial"/>
                <w:b/>
                <w:color w:val="FFFFFF"/>
                <w:sz w:val="20"/>
              </w:rPr>
              <w:t>Accuracy</w:t>
            </w:r>
          </w:p>
        </w:tc>
        <w:tc>
          <w:tcPr>
            <w:tcW w:type="dxa" w:w="1250"/>
            <w:shd w:fill="1F4E78"/>
            <w:tcMar>
              <w:top w:w="120" w:type="dxa"/>
              <w:bottom w:w="120" w:type="dxa"/>
              <w:left w:w="150" w:type="dxa"/>
              <w:right w:w="150" w:type="dxa"/>
            </w:tcMar>
          </w:tcPr>
          <w:p>
            <w:pPr>
              <w:spacing w:after="0"/>
            </w:pPr>
            <w:r>
              <w:rPr>
                <w:rFonts w:ascii="Arial" w:hAnsi="Arial"/>
                <w:b/>
                <w:color w:val="FFFFFF"/>
                <w:sz w:val="20"/>
              </w:rPr>
              <w:t>Precision</w:t>
            </w:r>
          </w:p>
        </w:tc>
        <w:tc>
          <w:tcPr>
            <w:tcW w:type="dxa" w:w="1150"/>
            <w:shd w:fill="1F4E78"/>
            <w:tcMar>
              <w:top w:w="120" w:type="dxa"/>
              <w:bottom w:w="120" w:type="dxa"/>
              <w:left w:w="150" w:type="dxa"/>
              <w:right w:w="150" w:type="dxa"/>
            </w:tcMar>
          </w:tcPr>
          <w:p>
            <w:pPr>
              <w:spacing w:after="0"/>
            </w:pPr>
            <w:r>
              <w:rPr>
                <w:rFonts w:ascii="Arial" w:hAnsi="Arial"/>
                <w:b/>
                <w:color w:val="FFFFFF"/>
                <w:sz w:val="20"/>
              </w:rPr>
              <w:t>Recall</w:t>
            </w:r>
          </w:p>
        </w:tc>
        <w:tc>
          <w:tcPr>
            <w:tcW w:type="dxa" w:w="1250"/>
            <w:shd w:fill="1F4E78"/>
            <w:tcMar>
              <w:top w:w="120" w:type="dxa"/>
              <w:bottom w:w="120" w:type="dxa"/>
              <w:left w:w="150" w:type="dxa"/>
              <w:right w:w="150" w:type="dxa"/>
            </w:tcMar>
          </w:tcPr>
          <w:p>
            <w:pPr>
              <w:spacing w:after="0"/>
            </w:pPr>
            <w:r>
              <w:rPr>
                <w:rFonts w:ascii="Arial" w:hAnsi="Arial"/>
                <w:b/>
                <w:color w:val="FFFFFF"/>
                <w:sz w:val="20"/>
              </w:rPr>
              <w:t>F1-Score</w:t>
            </w:r>
          </w:p>
        </w:tc>
        <w:tc>
          <w:tcPr>
            <w:tcW w:type="dxa" w:w="1200"/>
            <w:shd w:fill="1F4E78"/>
            <w:tcMar>
              <w:top w:w="120" w:type="dxa"/>
              <w:bottom w:w="120" w:type="dxa"/>
              <w:left w:w="150" w:type="dxa"/>
              <w:right w:w="150" w:type="dxa"/>
            </w:tcMar>
          </w:tcPr>
          <w:p>
            <w:pPr>
              <w:spacing w:after="0"/>
            </w:pPr>
            <w:r>
              <w:rPr>
                <w:rFonts w:ascii="Arial" w:hAnsi="Arial"/>
                <w:b/>
                <w:color w:val="FFFFFF"/>
                <w:sz w:val="20"/>
              </w:rPr>
              <w:t>ROC-AUC</w:t>
            </w:r>
          </w:p>
        </w:tc>
        <w:tc>
          <w:tcPr>
            <w:tcW w:type="dxa" w:w="1200"/>
            <w:shd w:fill="1F4E78"/>
            <w:tcMar>
              <w:top w:w="120" w:type="dxa"/>
              <w:bottom w:w="120" w:type="dxa"/>
              <w:left w:w="150" w:type="dxa"/>
              <w:right w:w="150" w:type="dxa"/>
            </w:tcMar>
          </w:tcPr>
          <w:p>
            <w:pPr>
              <w:spacing w:after="0"/>
            </w:pPr>
            <w:r>
              <w:rPr>
                <w:rFonts w:ascii="Arial" w:hAnsi="Arial"/>
                <w:b/>
                <w:color w:val="FFFFFF"/>
                <w:sz w:val="20"/>
              </w:rPr>
              <w:t>PR-AUC</w:t>
            </w:r>
          </w:p>
        </w:tc>
      </w:tr>
      <w:tr>
        <w:tc>
          <w:tcPr>
            <w:tcW w:type="dxa" w:w="2200"/>
            <w:tcMar>
              <w:top w:w="100" w:type="dxa"/>
              <w:bottom w:w="100" w:type="dxa"/>
              <w:left w:w="150" w:type="dxa"/>
              <w:right w:w="150" w:type="dxa"/>
            </w:tcMar>
          </w:tcPr>
          <w:p>
            <w:pPr>
              <w:spacing w:after="0"/>
            </w:pPr>
            <w:r>
              <w:rPr>
                <w:rFonts w:ascii="Arial" w:hAnsi="Arial"/>
                <w:color w:val="333333"/>
                <w:sz w:val="20"/>
              </w:rPr>
              <w:t>Decision Tree</w:t>
            </w:r>
          </w:p>
        </w:tc>
        <w:tc>
          <w:tcPr>
            <w:tcW w:type="dxa" w:w="1250"/>
            <w:tcMar>
              <w:top w:w="100" w:type="dxa"/>
              <w:bottom w:w="100" w:type="dxa"/>
              <w:left w:w="150" w:type="dxa"/>
              <w:right w:w="150" w:type="dxa"/>
            </w:tcMar>
          </w:tcPr>
          <w:p>
            <w:pPr>
              <w:spacing w:after="0"/>
            </w:pPr>
            <w:r>
              <w:rPr>
                <w:rFonts w:ascii="Arial" w:hAnsi="Arial"/>
                <w:color w:val="333333"/>
                <w:sz w:val="20"/>
              </w:rPr>
              <w:t>0.476</w:t>
            </w:r>
          </w:p>
        </w:tc>
        <w:tc>
          <w:tcPr>
            <w:tcW w:type="dxa" w:w="1250"/>
            <w:tcMar>
              <w:top w:w="100" w:type="dxa"/>
              <w:bottom w:w="100" w:type="dxa"/>
              <w:left w:w="150" w:type="dxa"/>
              <w:right w:w="150" w:type="dxa"/>
            </w:tcMar>
          </w:tcPr>
          <w:p>
            <w:pPr>
              <w:spacing w:after="0"/>
            </w:pPr>
            <w:r>
              <w:rPr>
                <w:rFonts w:ascii="Arial" w:hAnsi="Arial"/>
                <w:color w:val="333333"/>
                <w:sz w:val="20"/>
              </w:rPr>
              <w:t>0.065</w:t>
            </w:r>
          </w:p>
        </w:tc>
        <w:tc>
          <w:tcPr>
            <w:tcW w:type="dxa" w:w="1150"/>
            <w:tcMar>
              <w:top w:w="100" w:type="dxa"/>
              <w:bottom w:w="100" w:type="dxa"/>
              <w:left w:w="150" w:type="dxa"/>
              <w:right w:w="150" w:type="dxa"/>
            </w:tcMar>
          </w:tcPr>
          <w:p>
            <w:pPr>
              <w:spacing w:after="0"/>
            </w:pPr>
            <w:r>
              <w:rPr>
                <w:rFonts w:ascii="Arial" w:hAnsi="Arial"/>
                <w:color w:val="333333"/>
                <w:sz w:val="20"/>
              </w:rPr>
              <w:t>0.680</w:t>
            </w:r>
          </w:p>
        </w:tc>
        <w:tc>
          <w:tcPr>
            <w:tcW w:type="dxa" w:w="1250"/>
            <w:tcMar>
              <w:top w:w="100" w:type="dxa"/>
              <w:bottom w:w="100" w:type="dxa"/>
              <w:left w:w="150" w:type="dxa"/>
              <w:right w:w="150" w:type="dxa"/>
            </w:tcMar>
          </w:tcPr>
          <w:p>
            <w:pPr>
              <w:spacing w:after="0"/>
            </w:pPr>
            <w:r>
              <w:rPr>
                <w:rFonts w:ascii="Arial" w:hAnsi="Arial"/>
                <w:color w:val="333333"/>
                <w:sz w:val="20"/>
              </w:rPr>
              <w:t>0.119</w:t>
            </w:r>
          </w:p>
        </w:tc>
        <w:tc>
          <w:tcPr>
            <w:tcW w:type="dxa" w:w="1200"/>
            <w:tcMar>
              <w:top w:w="100" w:type="dxa"/>
              <w:bottom w:w="100" w:type="dxa"/>
              <w:left w:w="150" w:type="dxa"/>
              <w:right w:w="150" w:type="dxa"/>
            </w:tcMar>
          </w:tcPr>
          <w:p>
            <w:pPr>
              <w:spacing w:after="0"/>
            </w:pPr>
            <w:r>
              <w:rPr>
                <w:rFonts w:ascii="Arial" w:hAnsi="Arial"/>
                <w:color w:val="333333"/>
                <w:sz w:val="20"/>
              </w:rPr>
              <w:t>0.567</w:t>
            </w:r>
          </w:p>
        </w:tc>
        <w:tc>
          <w:tcPr>
            <w:tcW w:type="dxa" w:w="1200"/>
            <w:tcMar>
              <w:top w:w="100" w:type="dxa"/>
              <w:bottom w:w="100" w:type="dxa"/>
              <w:left w:w="150" w:type="dxa"/>
              <w:right w:w="150" w:type="dxa"/>
            </w:tcMar>
          </w:tcPr>
          <w:p>
            <w:pPr>
              <w:spacing w:after="0"/>
            </w:pPr>
            <w:r>
              <w:rPr>
                <w:rFonts w:ascii="Arial" w:hAnsi="Arial"/>
                <w:color w:val="333333"/>
                <w:sz w:val="20"/>
              </w:rPr>
              <w:t>0.068</w:t>
            </w:r>
          </w:p>
        </w:tc>
      </w:tr>
      <w:tr>
        <w:tc>
          <w:tcPr>
            <w:tcW w:type="dxa" w:w="2200"/>
            <w:shd w:fill="F2F2F2"/>
            <w:tcMar>
              <w:top w:w="100" w:type="dxa"/>
              <w:bottom w:w="100" w:type="dxa"/>
              <w:left w:w="150" w:type="dxa"/>
              <w:right w:w="150" w:type="dxa"/>
            </w:tcMar>
          </w:tcPr>
          <w:p>
            <w:pPr>
              <w:spacing w:after="0"/>
            </w:pPr>
            <w:r>
              <w:rPr>
                <w:rFonts w:ascii="Arial" w:hAnsi="Arial"/>
                <w:color w:val="333333"/>
                <w:sz w:val="20"/>
              </w:rPr>
              <w:t>Logistic Regression</w:t>
            </w:r>
          </w:p>
        </w:tc>
        <w:tc>
          <w:tcPr>
            <w:tcW w:type="dxa" w:w="1250"/>
            <w:shd w:fill="F2F2F2"/>
            <w:tcMar>
              <w:top w:w="100" w:type="dxa"/>
              <w:bottom w:w="100" w:type="dxa"/>
              <w:left w:w="150" w:type="dxa"/>
              <w:right w:w="150" w:type="dxa"/>
            </w:tcMar>
          </w:tcPr>
          <w:p>
            <w:pPr>
              <w:spacing w:after="0"/>
            </w:pPr>
            <w:r>
              <w:rPr>
                <w:rFonts w:ascii="Arial" w:hAnsi="Arial"/>
                <w:color w:val="333333"/>
                <w:sz w:val="20"/>
              </w:rPr>
              <w:t>0.572</w:t>
            </w:r>
          </w:p>
        </w:tc>
        <w:tc>
          <w:tcPr>
            <w:tcW w:type="dxa" w:w="1250"/>
            <w:shd w:fill="F2F2F2"/>
            <w:tcMar>
              <w:top w:w="100" w:type="dxa"/>
              <w:bottom w:w="100" w:type="dxa"/>
              <w:left w:w="150" w:type="dxa"/>
              <w:right w:w="150" w:type="dxa"/>
            </w:tcMar>
          </w:tcPr>
          <w:p>
            <w:pPr>
              <w:spacing w:after="0"/>
            </w:pPr>
            <w:r>
              <w:rPr>
                <w:rFonts w:ascii="Arial" w:hAnsi="Arial"/>
                <w:color w:val="333333"/>
                <w:sz w:val="20"/>
              </w:rPr>
              <w:t>0.054</w:t>
            </w:r>
          </w:p>
        </w:tc>
        <w:tc>
          <w:tcPr>
            <w:tcW w:type="dxa" w:w="1150"/>
            <w:shd w:fill="F2F2F2"/>
            <w:tcMar>
              <w:top w:w="100" w:type="dxa"/>
              <w:bottom w:w="100" w:type="dxa"/>
              <w:left w:w="150" w:type="dxa"/>
              <w:right w:w="150" w:type="dxa"/>
            </w:tcMar>
          </w:tcPr>
          <w:p>
            <w:pPr>
              <w:spacing w:after="0"/>
            </w:pPr>
            <w:r>
              <w:rPr>
                <w:rFonts w:ascii="Arial" w:hAnsi="Arial"/>
                <w:color w:val="333333"/>
                <w:sz w:val="20"/>
              </w:rPr>
              <w:t>0.440</w:t>
            </w:r>
          </w:p>
        </w:tc>
        <w:tc>
          <w:tcPr>
            <w:tcW w:type="dxa" w:w="1250"/>
            <w:shd w:fill="F2F2F2"/>
            <w:tcMar>
              <w:top w:w="100" w:type="dxa"/>
              <w:bottom w:w="100" w:type="dxa"/>
              <w:left w:w="150" w:type="dxa"/>
              <w:right w:w="150" w:type="dxa"/>
            </w:tcMar>
          </w:tcPr>
          <w:p>
            <w:pPr>
              <w:spacing w:after="0"/>
            </w:pPr>
            <w:r>
              <w:rPr>
                <w:rFonts w:ascii="Arial" w:hAnsi="Arial"/>
                <w:color w:val="333333"/>
                <w:sz w:val="20"/>
              </w:rPr>
              <w:t>0.097</w:t>
            </w:r>
          </w:p>
        </w:tc>
        <w:tc>
          <w:tcPr>
            <w:tcW w:type="dxa" w:w="1200"/>
            <w:shd w:fill="F2F2F2"/>
            <w:tcMar>
              <w:top w:w="100" w:type="dxa"/>
              <w:bottom w:w="100" w:type="dxa"/>
              <w:left w:w="150" w:type="dxa"/>
              <w:right w:w="150" w:type="dxa"/>
            </w:tcMar>
          </w:tcPr>
          <w:p>
            <w:pPr>
              <w:spacing w:after="0"/>
            </w:pPr>
            <w:r>
              <w:rPr>
                <w:rFonts w:ascii="Arial" w:hAnsi="Arial"/>
                <w:color w:val="333333"/>
                <w:sz w:val="20"/>
              </w:rPr>
              <w:t>0.561</w:t>
            </w:r>
          </w:p>
        </w:tc>
        <w:tc>
          <w:tcPr>
            <w:tcW w:type="dxa" w:w="1200"/>
            <w:shd w:fill="F2F2F2"/>
            <w:tcMar>
              <w:top w:w="100" w:type="dxa"/>
              <w:bottom w:w="100" w:type="dxa"/>
              <w:left w:w="150" w:type="dxa"/>
              <w:right w:w="150" w:type="dxa"/>
            </w:tcMar>
          </w:tcPr>
          <w:p>
            <w:pPr>
              <w:spacing w:after="0"/>
            </w:pPr>
            <w:r>
              <w:rPr>
                <w:rFonts w:ascii="Arial" w:hAnsi="Arial"/>
                <w:color w:val="333333"/>
                <w:sz w:val="20"/>
              </w:rPr>
              <w:t>0.072</w:t>
            </w:r>
          </w:p>
        </w:tc>
      </w:tr>
      <w:tr>
        <w:tc>
          <w:tcPr>
            <w:tcW w:type="dxa" w:w="2200"/>
            <w:tcMar>
              <w:top w:w="100" w:type="dxa"/>
              <w:bottom w:w="100" w:type="dxa"/>
              <w:left w:w="150" w:type="dxa"/>
              <w:right w:w="150" w:type="dxa"/>
            </w:tcMar>
          </w:tcPr>
          <w:p>
            <w:pPr>
              <w:spacing w:after="0"/>
            </w:pPr>
            <w:r>
              <w:rPr>
                <w:rFonts w:ascii="Arial" w:hAnsi="Arial"/>
                <w:color w:val="333333"/>
                <w:sz w:val="20"/>
              </w:rPr>
              <w:t>XGBoost</w:t>
            </w:r>
          </w:p>
        </w:tc>
        <w:tc>
          <w:tcPr>
            <w:tcW w:type="dxa" w:w="1250"/>
            <w:tcMar>
              <w:top w:w="100" w:type="dxa"/>
              <w:bottom w:w="100" w:type="dxa"/>
              <w:left w:w="150" w:type="dxa"/>
              <w:right w:w="150" w:type="dxa"/>
            </w:tcMar>
          </w:tcPr>
          <w:p>
            <w:pPr>
              <w:spacing w:after="0"/>
            </w:pPr>
            <w:r>
              <w:rPr>
                <w:rFonts w:ascii="Arial" w:hAnsi="Arial"/>
                <w:color w:val="333333"/>
                <w:sz w:val="20"/>
              </w:rPr>
              <w:t>0.921</w:t>
            </w:r>
          </w:p>
        </w:tc>
        <w:tc>
          <w:tcPr>
            <w:tcW w:type="dxa" w:w="1250"/>
            <w:tcMar>
              <w:top w:w="100" w:type="dxa"/>
              <w:bottom w:w="100" w:type="dxa"/>
              <w:left w:w="150" w:type="dxa"/>
              <w:right w:w="150" w:type="dxa"/>
            </w:tcMar>
          </w:tcPr>
          <w:p>
            <w:pPr>
              <w:spacing w:after="0"/>
            </w:pPr>
            <w:r>
              <w:rPr>
                <w:rFonts w:ascii="Arial" w:hAnsi="Arial"/>
                <w:color w:val="333333"/>
                <w:sz w:val="20"/>
              </w:rPr>
              <w:t>0.067</w:t>
            </w:r>
          </w:p>
        </w:tc>
        <w:tc>
          <w:tcPr>
            <w:tcW w:type="dxa" w:w="1150"/>
            <w:tcMar>
              <w:top w:w="100" w:type="dxa"/>
              <w:bottom w:w="100" w:type="dxa"/>
              <w:left w:w="150" w:type="dxa"/>
              <w:right w:w="150" w:type="dxa"/>
            </w:tcMar>
          </w:tcPr>
          <w:p>
            <w:pPr>
              <w:spacing w:after="0"/>
            </w:pPr>
            <w:r>
              <w:rPr>
                <w:rFonts w:ascii="Arial" w:hAnsi="Arial"/>
                <w:color w:val="333333"/>
                <w:sz w:val="20"/>
              </w:rPr>
              <w:t>0.040</w:t>
            </w:r>
          </w:p>
        </w:tc>
        <w:tc>
          <w:tcPr>
            <w:tcW w:type="dxa" w:w="1250"/>
            <w:tcMar>
              <w:top w:w="100" w:type="dxa"/>
              <w:bottom w:w="100" w:type="dxa"/>
              <w:left w:w="150" w:type="dxa"/>
              <w:right w:w="150" w:type="dxa"/>
            </w:tcMar>
          </w:tcPr>
          <w:p>
            <w:pPr>
              <w:spacing w:after="0"/>
            </w:pPr>
            <w:r>
              <w:rPr>
                <w:rFonts w:ascii="Arial" w:hAnsi="Arial"/>
                <w:color w:val="333333"/>
                <w:sz w:val="20"/>
              </w:rPr>
              <w:t>0.050</w:t>
            </w:r>
          </w:p>
        </w:tc>
        <w:tc>
          <w:tcPr>
            <w:tcW w:type="dxa" w:w="1200"/>
            <w:tcMar>
              <w:top w:w="100" w:type="dxa"/>
              <w:bottom w:w="100" w:type="dxa"/>
              <w:left w:w="150" w:type="dxa"/>
              <w:right w:w="150" w:type="dxa"/>
            </w:tcMar>
          </w:tcPr>
          <w:p>
            <w:pPr>
              <w:spacing w:after="0"/>
            </w:pPr>
            <w:r>
              <w:rPr>
                <w:rFonts w:ascii="Arial" w:hAnsi="Arial"/>
                <w:color w:val="333333"/>
                <w:sz w:val="20"/>
              </w:rPr>
              <w:t>0.545</w:t>
            </w:r>
          </w:p>
        </w:tc>
        <w:tc>
          <w:tcPr>
            <w:tcW w:type="dxa" w:w="1200"/>
            <w:tcMar>
              <w:top w:w="100" w:type="dxa"/>
              <w:bottom w:w="100" w:type="dxa"/>
              <w:left w:w="150" w:type="dxa"/>
              <w:right w:w="150" w:type="dxa"/>
            </w:tcMar>
          </w:tcPr>
          <w:p>
            <w:pPr>
              <w:spacing w:after="0"/>
            </w:pPr>
            <w:r>
              <w:rPr>
                <w:rFonts w:ascii="Arial" w:hAnsi="Arial"/>
                <w:color w:val="333333"/>
                <w:sz w:val="20"/>
              </w:rPr>
              <w:t>0.080</w:t>
            </w:r>
          </w:p>
        </w:tc>
      </w:tr>
      <w:tr>
        <w:tc>
          <w:tcPr>
            <w:tcW w:type="dxa" w:w="2200"/>
            <w:shd w:fill="F2F2F2"/>
            <w:tcMar>
              <w:top w:w="100" w:type="dxa"/>
              <w:bottom w:w="100" w:type="dxa"/>
              <w:left w:w="150" w:type="dxa"/>
              <w:right w:w="150" w:type="dxa"/>
            </w:tcMar>
          </w:tcPr>
          <w:p>
            <w:pPr>
              <w:spacing w:after="0"/>
            </w:pPr>
            <w:r>
              <w:rPr>
                <w:rFonts w:ascii="Arial" w:hAnsi="Arial"/>
                <w:color w:val="333333"/>
                <w:sz w:val="20"/>
              </w:rPr>
              <w:t>Random Forest</w:t>
            </w:r>
          </w:p>
        </w:tc>
        <w:tc>
          <w:tcPr>
            <w:tcW w:type="dxa" w:w="1250"/>
            <w:shd w:fill="F2F2F2"/>
            <w:tcMar>
              <w:top w:w="100" w:type="dxa"/>
              <w:bottom w:w="100" w:type="dxa"/>
              <w:left w:w="150" w:type="dxa"/>
              <w:right w:w="150" w:type="dxa"/>
            </w:tcMar>
          </w:tcPr>
          <w:p>
            <w:pPr>
              <w:spacing w:after="0"/>
            </w:pPr>
            <w:r>
              <w:rPr>
                <w:rFonts w:ascii="Arial" w:hAnsi="Arial"/>
                <w:color w:val="333333"/>
                <w:sz w:val="20"/>
              </w:rPr>
              <w:t>0.948</w:t>
            </w:r>
          </w:p>
        </w:tc>
        <w:tc>
          <w:tcPr>
            <w:tcW w:type="dxa" w:w="1250"/>
            <w:shd w:fill="F2F2F2"/>
            <w:tcMar>
              <w:top w:w="100" w:type="dxa"/>
              <w:bottom w:w="100" w:type="dxa"/>
              <w:left w:w="150" w:type="dxa"/>
              <w:right w:w="150" w:type="dxa"/>
            </w:tcMar>
          </w:tcPr>
          <w:p>
            <w:pPr>
              <w:spacing w:after="0"/>
            </w:pPr>
            <w:r>
              <w:rPr>
                <w:rFonts w:ascii="Arial" w:hAnsi="Arial"/>
                <w:color w:val="333333"/>
                <w:sz w:val="20"/>
              </w:rPr>
              <w:t>0.000</w:t>
            </w:r>
          </w:p>
        </w:tc>
        <w:tc>
          <w:tcPr>
            <w:tcW w:type="dxa" w:w="1150"/>
            <w:shd w:fill="F2F2F2"/>
            <w:tcMar>
              <w:top w:w="100" w:type="dxa"/>
              <w:bottom w:w="100" w:type="dxa"/>
              <w:left w:w="150" w:type="dxa"/>
              <w:right w:w="150" w:type="dxa"/>
            </w:tcMar>
          </w:tcPr>
          <w:p>
            <w:pPr>
              <w:spacing w:after="0"/>
            </w:pPr>
            <w:r>
              <w:rPr>
                <w:rFonts w:ascii="Arial" w:hAnsi="Arial"/>
                <w:color w:val="333333"/>
                <w:sz w:val="20"/>
              </w:rPr>
              <w:t>0.000</w:t>
            </w:r>
          </w:p>
        </w:tc>
        <w:tc>
          <w:tcPr>
            <w:tcW w:type="dxa" w:w="1250"/>
            <w:shd w:fill="F2F2F2"/>
            <w:tcMar>
              <w:top w:w="100" w:type="dxa"/>
              <w:bottom w:w="100" w:type="dxa"/>
              <w:left w:w="150" w:type="dxa"/>
              <w:right w:w="150" w:type="dxa"/>
            </w:tcMar>
          </w:tcPr>
          <w:p>
            <w:pPr>
              <w:spacing w:after="0"/>
            </w:pPr>
            <w:r>
              <w:rPr>
                <w:rFonts w:ascii="Arial" w:hAnsi="Arial"/>
                <w:color w:val="333333"/>
                <w:sz w:val="20"/>
              </w:rPr>
              <w:t>0.000</w:t>
            </w:r>
          </w:p>
        </w:tc>
        <w:tc>
          <w:tcPr>
            <w:tcW w:type="dxa" w:w="1200"/>
            <w:shd w:fill="F2F2F2"/>
            <w:tcMar>
              <w:top w:w="100" w:type="dxa"/>
              <w:bottom w:w="100" w:type="dxa"/>
              <w:left w:w="150" w:type="dxa"/>
              <w:right w:w="150" w:type="dxa"/>
            </w:tcMar>
          </w:tcPr>
          <w:p>
            <w:pPr>
              <w:spacing w:after="0"/>
            </w:pPr>
            <w:r>
              <w:rPr>
                <w:rFonts w:ascii="Arial" w:hAnsi="Arial"/>
                <w:color w:val="333333"/>
                <w:sz w:val="20"/>
              </w:rPr>
              <w:t>0.510</w:t>
            </w:r>
          </w:p>
        </w:tc>
        <w:tc>
          <w:tcPr>
            <w:tcW w:type="dxa" w:w="1200"/>
            <w:shd w:fill="F2F2F2"/>
            <w:tcMar>
              <w:top w:w="100" w:type="dxa"/>
              <w:bottom w:w="100" w:type="dxa"/>
              <w:left w:w="150" w:type="dxa"/>
              <w:right w:w="150" w:type="dxa"/>
            </w:tcMar>
          </w:tcPr>
          <w:p>
            <w:pPr>
              <w:spacing w:after="0"/>
            </w:pPr>
            <w:r>
              <w:rPr>
                <w:rFonts w:ascii="Arial" w:hAnsi="Arial"/>
                <w:color w:val="333333"/>
                <w:sz w:val="20"/>
              </w:rPr>
              <w:t>0.147</w:t>
            </w:r>
          </w:p>
        </w:tc>
      </w:tr>
      <w:tr>
        <w:tc>
          <w:tcPr>
            <w:tcW w:type="dxa" w:w="2200"/>
            <w:tcMar>
              <w:top w:w="100" w:type="dxa"/>
              <w:bottom w:w="100" w:type="dxa"/>
              <w:left w:w="150" w:type="dxa"/>
              <w:right w:w="150" w:type="dxa"/>
            </w:tcMar>
          </w:tcPr>
          <w:p>
            <w:pPr>
              <w:spacing w:after="0"/>
            </w:pPr>
            <w:r>
              <w:rPr>
                <w:rFonts w:ascii="Arial" w:hAnsi="Arial"/>
                <w:color w:val="333333"/>
                <w:sz w:val="20"/>
              </w:rPr>
              <w:t>SVM</w:t>
            </w:r>
          </w:p>
        </w:tc>
        <w:tc>
          <w:tcPr>
            <w:tcW w:type="dxa" w:w="1250"/>
            <w:tcMar>
              <w:top w:w="100" w:type="dxa"/>
              <w:bottom w:w="100" w:type="dxa"/>
              <w:left w:w="150" w:type="dxa"/>
              <w:right w:w="150" w:type="dxa"/>
            </w:tcMar>
          </w:tcPr>
          <w:p>
            <w:pPr>
              <w:spacing w:after="0"/>
            </w:pPr>
            <w:r>
              <w:rPr>
                <w:rFonts w:ascii="Arial" w:hAnsi="Arial"/>
                <w:color w:val="333333"/>
                <w:sz w:val="20"/>
              </w:rPr>
              <w:t>0.927</w:t>
            </w:r>
          </w:p>
        </w:tc>
        <w:tc>
          <w:tcPr>
            <w:tcW w:type="dxa" w:w="1250"/>
            <w:tcMar>
              <w:top w:w="100" w:type="dxa"/>
              <w:bottom w:w="100" w:type="dxa"/>
              <w:left w:w="150" w:type="dxa"/>
              <w:right w:w="150" w:type="dxa"/>
            </w:tcMar>
          </w:tcPr>
          <w:p>
            <w:pPr>
              <w:spacing w:after="0"/>
            </w:pPr>
            <w:r>
              <w:rPr>
                <w:rFonts w:ascii="Arial" w:hAnsi="Arial"/>
                <w:color w:val="333333"/>
                <w:sz w:val="20"/>
              </w:rPr>
              <w:t>0.000</w:t>
            </w:r>
          </w:p>
        </w:tc>
        <w:tc>
          <w:tcPr>
            <w:tcW w:type="dxa" w:w="1150"/>
            <w:tcMar>
              <w:top w:w="100" w:type="dxa"/>
              <w:bottom w:w="100" w:type="dxa"/>
              <w:left w:w="150" w:type="dxa"/>
              <w:right w:w="150" w:type="dxa"/>
            </w:tcMar>
          </w:tcPr>
          <w:p>
            <w:pPr>
              <w:spacing w:after="0"/>
            </w:pPr>
            <w:r>
              <w:rPr>
                <w:rFonts w:ascii="Arial" w:hAnsi="Arial"/>
                <w:color w:val="333333"/>
                <w:sz w:val="20"/>
              </w:rPr>
              <w:t>0.000</w:t>
            </w:r>
          </w:p>
        </w:tc>
        <w:tc>
          <w:tcPr>
            <w:tcW w:type="dxa" w:w="1250"/>
            <w:tcMar>
              <w:top w:w="100" w:type="dxa"/>
              <w:bottom w:w="100" w:type="dxa"/>
              <w:left w:w="150" w:type="dxa"/>
              <w:right w:w="150" w:type="dxa"/>
            </w:tcMar>
          </w:tcPr>
          <w:p>
            <w:pPr>
              <w:spacing w:after="0"/>
            </w:pPr>
            <w:r>
              <w:rPr>
                <w:rFonts w:ascii="Arial" w:hAnsi="Arial"/>
                <w:color w:val="333333"/>
                <w:sz w:val="20"/>
              </w:rPr>
              <w:t>0.000</w:t>
            </w:r>
          </w:p>
        </w:tc>
        <w:tc>
          <w:tcPr>
            <w:tcW w:type="dxa" w:w="1200"/>
            <w:tcMar>
              <w:top w:w="100" w:type="dxa"/>
              <w:bottom w:w="100" w:type="dxa"/>
              <w:left w:w="150" w:type="dxa"/>
              <w:right w:w="150" w:type="dxa"/>
            </w:tcMar>
          </w:tcPr>
          <w:p>
            <w:pPr>
              <w:spacing w:after="0"/>
            </w:pPr>
            <w:r>
              <w:rPr>
                <w:rFonts w:ascii="Arial" w:hAnsi="Arial"/>
                <w:color w:val="333333"/>
                <w:sz w:val="20"/>
              </w:rPr>
              <w:t>0.502</w:t>
            </w:r>
          </w:p>
        </w:tc>
        <w:tc>
          <w:tcPr>
            <w:tcW w:type="dxa" w:w="1200"/>
            <w:tcMar>
              <w:top w:w="100" w:type="dxa"/>
              <w:bottom w:w="100" w:type="dxa"/>
              <w:left w:w="150" w:type="dxa"/>
              <w:right w:w="150" w:type="dxa"/>
            </w:tcMar>
          </w:tcPr>
          <w:p>
            <w:pPr>
              <w:spacing w:after="0"/>
            </w:pPr>
            <w:r>
              <w:rPr>
                <w:rFonts w:ascii="Arial" w:hAnsi="Arial"/>
                <w:color w:val="333333"/>
                <w:sz w:val="20"/>
              </w:rPr>
              <w:t>0.101</w:t>
            </w:r>
          </w:p>
        </w:tc>
      </w:tr>
    </w:tbl>
    <w:p>
      <w:pPr>
        <w:spacing w:after="240"/>
      </w:pPr>
    </w:p>
    <w:p>
      <w:pPr>
        <w:keepNext/>
        <w:spacing w:before="300" w:after="160"/>
      </w:pPr>
      <w:r>
        <w:rPr>
          <w:b/>
          <w:color w:val="1F4E78"/>
          <w:sz w:val="26"/>
        </w:rPr>
        <w:t>6.2 Interpreting these results honestly</w:t>
      </w:r>
    </w:p>
    <w:p>
      <w:pPr>
        <w:spacing w:after="160"/>
      </w:pPr>
      <w:r>
        <w:rPr>
          <w:color w:val="222222"/>
          <w:sz w:val="22"/>
        </w:rPr>
        <w:t>All five models land close to ROC-AUC 0.50–0.57, which is near the 0.50 random-guess baseline. Random Forest and SVM in particular predicted the majority class for essentially every test patient (Precision and Recall of 0.000 on the positive class), which is exactly the imbalance failure mode described above despite class-weighting. The Decision Tree and Logistic Regression recovered more positive cases (Recall 0.68 and 0.44 respectively) but at a low precision, meaning many false alarms.</w:t>
      </w:r>
    </w:p>
    <w:p>
      <w:pPr>
        <w:spacing w:after="240"/>
        <w:ind w:left="360"/>
        <w:pBdr>
          <w:left w:val="single" w:sz="12" w:space="8" w:color="BFBFBF"/>
        </w:pBdr>
      </w:pPr>
      <w:r>
        <w:rPr>
          <w:rFonts w:ascii="Arial" w:hAnsi="Arial"/>
          <w:i/>
          <w:color w:val="595959"/>
          <w:sz w:val="20"/>
        </w:rPr>
        <w:t>This outcome lines up with the EDA in Section 3: since almost no individual feature is statistically associated with Diagnosis, there is very little learnable signal for any model to find in this particular synthetic dataset. This is a legitimate, reportable finding — not a bug in the modeling code — and should be stated plainly in any final report or presentation rather than glossed over.</w:t>
      </w:r>
    </w:p>
    <w:p>
      <w:pPr>
        <w:keepNext/>
        <w:spacing w:before="300" w:after="160"/>
      </w:pPr>
      <w:r>
        <w:rPr>
          <w:b/>
          <w:color w:val="1F4E78"/>
          <w:sz w:val="26"/>
        </w:rPr>
        <w:t>6.3 Feature importance</w:t>
      </w:r>
    </w:p>
    <w:p>
      <w:pPr>
        <w:spacing w:after="160"/>
      </w:pPr>
      <w:r>
        <w:rPr>
          <w:color w:val="222222"/>
          <w:sz w:val="22"/>
        </w:rPr>
        <w:t>Random Forest and XGBoost feature importances were extracted and compared, but given the weak overall model performance above, these importance rankings should be read as a rough, low-confidence signal rather than clinically validated risk factors.</w:t>
      </w:r>
    </w:p>
    <w:p>
      <w:pPr>
        <w:keepNext/>
        <w:spacing w:before="300" w:after="160"/>
      </w:pPr>
      <w:r>
        <w:rPr>
          <w:b/>
          <w:color w:val="1F4E78"/>
          <w:sz w:val="26"/>
        </w:rPr>
        <w:t>6.4 Final model selection</w:t>
      </w:r>
    </w:p>
    <w:p>
      <w:pPr>
        <w:spacing w:after="160"/>
      </w:pPr>
      <w:r>
        <w:rPr>
          <w:color w:val="222222"/>
          <w:sz w:val="22"/>
        </w:rPr>
        <w:t>The model with the highest ROC-AUC (Decision Tree, 0.567) was saved as models/best_model.pkl for reference. Given the marginal gap between models and the overall weak performance, this selection should be treated as provisional pending either richer patient features or a dataset with real (non-synthetic) diagnostic signal.</w:t>
      </w:r>
    </w:p>
    <w:p>
      <w:pPr>
        <w:keepNext/>
        <w:spacing w:before="400" w:after="200"/>
      </w:pPr>
      <w:r>
        <w:rPr>
          <w:b/>
          <w:color w:val="1F4E78"/>
          <w:sz w:val="30"/>
        </w:rPr>
        <w:t>7. Excel Interactive Dashboard — Asthma_Dashboard.xlsx</w:t>
      </w:r>
    </w:p>
    <w:p>
      <w:pPr>
        <w:spacing w:after="160"/>
      </w:pPr>
      <w:r>
        <w:rPr>
          <w:color w:val="222222"/>
          <w:sz w:val="22"/>
        </w:rPr>
        <w:t>Built on top of the cleaned dataset, with three main sheets:</w:t>
      </w:r>
    </w:p>
    <w:p>
      <w:pPr>
        <w:keepNext/>
        <w:spacing w:before="300" w:after="160"/>
      </w:pPr>
      <w:r>
        <w:rPr>
          <w:b/>
          <w:color w:val="1F4E78"/>
          <w:sz w:val="26"/>
        </w:rPr>
        <w:t>7.1 Data sheet</w:t>
      </w:r>
    </w:p>
    <w:p>
      <w:pPr>
        <w:spacing w:after="160"/>
      </w:pPr>
      <w:r>
        <w:rPr>
          <w:color w:val="222222"/>
          <w:sz w:val="22"/>
        </w:rPr>
        <w:t>The full cleaned dataset (2,392 rows × 50 columns) as a native Excel Table (AsthmaData), plus a MatchFilter helper column that evaluates to 1 or 0 depending on whether each row matches the current Dashboard filter selections.</w:t>
      </w:r>
    </w:p>
    <w:p>
      <w:pPr>
        <w:keepNext/>
        <w:spacing w:before="300" w:after="160"/>
      </w:pPr>
      <w:r>
        <w:rPr>
          <w:b/>
          <w:color w:val="1F4E78"/>
          <w:sz w:val="26"/>
        </w:rPr>
        <w:t>7.2 Calc sheet</w:t>
      </w:r>
    </w:p>
    <w:p>
      <w:pPr>
        <w:spacing w:after="160"/>
      </w:pPr>
      <w:r>
        <w:rPr>
          <w:color w:val="222222"/>
          <w:sz w:val="22"/>
        </w:rPr>
        <w:t>SUMPRODUCT-based summary tables (no hardcoded values) computing, for the currently filtered patient set:</w:t>
      </w:r>
    </w:p>
    <w:p>
      <w:pPr>
        <w:pStyle w:val="ListBullet"/>
        <w:spacing w:after="80"/>
      </w:pPr>
      <w:r>
        <w:rPr>
          <w:color w:val="222222"/>
          <w:sz w:val="22"/>
        </w:rPr>
        <w:t>Diagnosis rate by Age Group, Gender, Smoking Status, BMI Category, and Ethnicity</w:t>
      </w:r>
    </w:p>
    <w:p>
      <w:pPr>
        <w:pStyle w:val="ListBullet"/>
        <w:spacing w:after="80"/>
      </w:pPr>
      <w:r>
        <w:rPr>
          <w:color w:val="222222"/>
          <w:sz w:val="22"/>
        </w:rPr>
        <w:t>Symptom prevalence across all 6 tracked symptoms</w:t>
      </w:r>
    </w:p>
    <w:p>
      <w:pPr>
        <w:pStyle w:val="ListBullet"/>
        <w:spacing w:after="80"/>
      </w:pPr>
      <w:r>
        <w:rPr>
          <w:color w:val="222222"/>
          <w:sz w:val="22"/>
        </w:rPr>
        <w:t>Average symptom count by risk-factor count</w:t>
      </w:r>
    </w:p>
    <w:p>
      <w:pPr>
        <w:pStyle w:val="ListBullet"/>
        <w:spacing w:after="80"/>
      </w:pPr>
      <w:r>
        <w:rPr>
          <w:color w:val="222222"/>
          <w:sz w:val="22"/>
        </w:rPr>
        <w:t>Average FEV1/FVC ratio by diagnosis</w:t>
      </w:r>
    </w:p>
    <w:p>
      <w:pPr>
        <w:pStyle w:val="ListBullet"/>
        <w:spacing w:after="80"/>
      </w:pPr>
      <w:r>
        <w:rPr>
          <w:color w:val="222222"/>
          <w:sz w:val="22"/>
        </w:rPr>
        <w:t>A KPI summary block (Total Patients, Diagnosis Positive Count, Diagnosis Rate, Avg BMI, Avg Symptom Count, Smoking Rate)</w:t>
      </w:r>
    </w:p>
    <w:p>
      <w:pPr>
        <w:keepNext/>
        <w:spacing w:before="300" w:after="160"/>
      </w:pPr>
      <w:r>
        <w:rPr>
          <w:b/>
          <w:color w:val="1F4E78"/>
          <w:sz w:val="26"/>
        </w:rPr>
        <w:t>7.3 Dashboard sheet</w:t>
      </w:r>
    </w:p>
    <w:p>
      <w:pPr>
        <w:spacing w:after="160"/>
      </w:pPr>
      <w:r>
        <w:rPr>
          <w:color w:val="222222"/>
          <w:sz w:val="22"/>
        </w:rPr>
        <w:t>The user-facing tab: 5 dropdown filters (Gender, Ethnicity, Smoking, Age Group, BMI Category), 6 live KPI cards, and 9 charts covering diagnosis-rate breakdowns, symptom prevalence, ethnicity distribution, and lung-function comparisons. Every chart and KPI recalculates instantly when a filter is changed.</w:t>
      </w:r>
    </w:p>
    <w:p>
      <w:pPr>
        <w:keepNext/>
        <w:spacing w:before="300" w:after="160"/>
      </w:pPr>
      <w:r>
        <w:rPr>
          <w:b/>
          <w:color w:val="1F4E78"/>
          <w:sz w:val="26"/>
        </w:rPr>
        <w:t>7.4 Notes sheet</w:t>
      </w:r>
    </w:p>
    <w:p>
      <w:pPr>
        <w:spacing w:after="160"/>
      </w:pPr>
      <w:r>
        <w:rPr>
          <w:color w:val="222222"/>
          <w:sz w:val="22"/>
        </w:rPr>
        <w:t>Documents why dropdown filters were used instead of native PivotTable Slicers (which can't be reliably generated by script), plus step-by-step instructions for adding native PivotTables/Slicers directly in Excel if desired.</w:t>
      </w:r>
    </w:p>
    <w:p>
      <w:pPr>
        <w:keepNext/>
        <w:spacing w:before="400" w:after="200"/>
      </w:pPr>
      <w:r>
        <w:rPr>
          <w:b/>
          <w:color w:val="1F4E78"/>
          <w:sz w:val="30"/>
        </w:rPr>
        <w:t>8. Repository Structure</w:t>
      </w:r>
    </w:p>
    <w:p>
      <w:pPr>
        <w:spacing w:after="160"/>
      </w:pPr>
      <w:r>
        <w:rPr>
          <w:color w:val="222222"/>
          <w:sz w:val="22"/>
        </w:rPr>
        <w:t>The project follows this structure (patient-level components complete; GBD, database, BI, and chatbot components are placeholders for future work):</w:t>
      </w:r>
    </w:p>
    <w:tbl>
      <w:tblPr>
        <w:tblW w:type="auto" w:w="0"/>
        <w:jc w:val="center"/>
        <w:tblLayout w:type="fixed"/>
        <w:tblLook w:firstColumn="1" w:firstRow="1" w:lastColumn="0" w:lastRow="0" w:noHBand="0" w:noVBand="1" w:val="04A0"/>
      </w:tblPr>
      <w:tblGrid>
        <w:gridCol w:w="5040"/>
        <w:gridCol w:w="5040"/>
      </w:tblGrid>
      <w:tr>
        <w:tc>
          <w:tcPr>
            <w:tcW w:type="dxa" w:w="4200"/>
            <w:shd w:fill="1F4E78"/>
            <w:tcMar>
              <w:top w:w="120" w:type="dxa"/>
              <w:bottom w:w="120" w:type="dxa"/>
              <w:left w:w="150" w:type="dxa"/>
              <w:right w:w="150" w:type="dxa"/>
            </w:tcMar>
          </w:tcPr>
          <w:p>
            <w:pPr>
              <w:spacing w:after="0"/>
            </w:pPr>
            <w:r>
              <w:rPr>
                <w:rFonts w:ascii="Arial" w:hAnsi="Arial"/>
                <w:b/>
                <w:color w:val="FFFFFF"/>
                <w:sz w:val="20"/>
              </w:rPr>
              <w:t>Path</w:t>
            </w:r>
          </w:p>
        </w:tc>
        <w:tc>
          <w:tcPr>
            <w:tcW w:type="dxa" w:w="4800"/>
            <w:shd w:fill="1F4E78"/>
            <w:tcMar>
              <w:top w:w="120" w:type="dxa"/>
              <w:bottom w:w="120" w:type="dxa"/>
              <w:left w:w="150" w:type="dxa"/>
              <w:right w:w="150" w:type="dxa"/>
            </w:tcMar>
          </w:tcPr>
          <w:p>
            <w:pPr>
              <w:spacing w:after="0"/>
            </w:pPr>
            <w:r>
              <w:rPr>
                <w:rFonts w:ascii="Arial" w:hAnsi="Arial"/>
                <w:b/>
                <w:color w:val="FFFFFF"/>
                <w:sz w:val="20"/>
              </w:rPr>
              <w:t>Status</w:t>
            </w:r>
          </w:p>
        </w:tc>
      </w:tr>
      <w:tr>
        <w:tc>
          <w:tcPr>
            <w:tcW w:type="dxa" w:w="4200"/>
            <w:tcMar>
              <w:top w:w="100" w:type="dxa"/>
              <w:bottom w:w="100" w:type="dxa"/>
              <w:left w:w="150" w:type="dxa"/>
              <w:right w:w="150" w:type="dxa"/>
            </w:tcMar>
          </w:tcPr>
          <w:p>
            <w:pPr>
              <w:spacing w:after="0"/>
            </w:pPr>
            <w:r>
              <w:rPr>
                <w:rFonts w:ascii="Arial" w:hAnsi="Arial"/>
                <w:color w:val="333333"/>
                <w:sz w:val="20"/>
              </w:rPr>
              <w:t>data/Patient_Level/, data/processed/</w:t>
            </w:r>
          </w:p>
        </w:tc>
        <w:tc>
          <w:tcPr>
            <w:tcW w:type="dxa" w:w="4800"/>
            <w:tcMar>
              <w:top w:w="100" w:type="dxa"/>
              <w:bottom w:w="100" w:type="dxa"/>
              <w:left w:w="150" w:type="dxa"/>
              <w:right w:w="150" w:type="dxa"/>
            </w:tcMar>
          </w:tcPr>
          <w:p>
            <w:pPr>
              <w:spacing w:after="0"/>
            </w:pPr>
            <w:r>
              <w:rPr>
                <w:rFonts w:ascii="Arial" w:hAnsi="Arial"/>
                <w:color w:val="333333"/>
                <w:sz w:val="20"/>
              </w:rPr>
              <w:t>Complete — raw + cleaned patient data</w:t>
            </w:r>
          </w:p>
        </w:tc>
      </w:tr>
      <w:tr>
        <w:tc>
          <w:tcPr>
            <w:tcW w:type="dxa" w:w="4200"/>
            <w:shd w:fill="F2F2F2"/>
            <w:tcMar>
              <w:top w:w="100" w:type="dxa"/>
              <w:bottom w:w="100" w:type="dxa"/>
              <w:left w:w="150" w:type="dxa"/>
              <w:right w:w="150" w:type="dxa"/>
            </w:tcMar>
          </w:tcPr>
          <w:p>
            <w:pPr>
              <w:spacing w:after="0"/>
            </w:pPr>
            <w:r>
              <w:rPr>
                <w:rFonts w:ascii="Arial" w:hAnsi="Arial"/>
                <w:color w:val="333333"/>
                <w:sz w:val="20"/>
              </w:rPr>
              <w:t>notebooks/01_Data_Cleaning.ipynb</w:t>
            </w:r>
          </w:p>
        </w:tc>
        <w:tc>
          <w:tcPr>
            <w:tcW w:type="dxa" w:w="4800"/>
            <w:shd w:fill="F2F2F2"/>
            <w:tcMar>
              <w:top w:w="100" w:type="dxa"/>
              <w:bottom w:w="100" w:type="dxa"/>
              <w:left w:w="150" w:type="dxa"/>
              <w:right w:w="150" w:type="dxa"/>
            </w:tcMar>
          </w:tcPr>
          <w:p>
            <w:pPr>
              <w:spacing w:after="0"/>
            </w:pPr>
            <w:r>
              <w:rPr>
                <w:rFonts w:ascii="Arial" w:hAnsi="Arial"/>
                <w:color w:val="333333"/>
                <w:sz w:val="20"/>
              </w:rPr>
              <w:t>Complete</w:t>
            </w:r>
          </w:p>
        </w:tc>
      </w:tr>
      <w:tr>
        <w:tc>
          <w:tcPr>
            <w:tcW w:type="dxa" w:w="4200"/>
            <w:tcMar>
              <w:top w:w="100" w:type="dxa"/>
              <w:bottom w:w="100" w:type="dxa"/>
              <w:left w:w="150" w:type="dxa"/>
              <w:right w:w="150" w:type="dxa"/>
            </w:tcMar>
          </w:tcPr>
          <w:p>
            <w:pPr>
              <w:spacing w:after="0"/>
            </w:pPr>
            <w:r>
              <w:rPr>
                <w:rFonts w:ascii="Arial" w:hAnsi="Arial"/>
                <w:color w:val="333333"/>
                <w:sz w:val="20"/>
              </w:rPr>
              <w:t>notebooks/03_EDA_Patient.ipynb</w:t>
            </w:r>
          </w:p>
        </w:tc>
        <w:tc>
          <w:tcPr>
            <w:tcW w:type="dxa" w:w="4800"/>
            <w:tcMar>
              <w:top w:w="100" w:type="dxa"/>
              <w:bottom w:w="100" w:type="dxa"/>
              <w:left w:w="150" w:type="dxa"/>
              <w:right w:w="150" w:type="dxa"/>
            </w:tcMar>
          </w:tcPr>
          <w:p>
            <w:pPr>
              <w:spacing w:after="0"/>
            </w:pPr>
            <w:r>
              <w:rPr>
                <w:rFonts w:ascii="Arial" w:hAnsi="Arial"/>
                <w:color w:val="333333"/>
                <w:sz w:val="20"/>
              </w:rPr>
              <w:t>Complete</w:t>
            </w:r>
          </w:p>
        </w:tc>
      </w:tr>
      <w:tr>
        <w:tc>
          <w:tcPr>
            <w:tcW w:type="dxa" w:w="4200"/>
            <w:shd w:fill="F2F2F2"/>
            <w:tcMar>
              <w:top w:w="100" w:type="dxa"/>
              <w:bottom w:w="100" w:type="dxa"/>
              <w:left w:w="150" w:type="dxa"/>
              <w:right w:w="150" w:type="dxa"/>
            </w:tcMar>
          </w:tcPr>
          <w:p>
            <w:pPr>
              <w:spacing w:after="0"/>
            </w:pPr>
            <w:r>
              <w:rPr>
                <w:rFonts w:ascii="Arial" w:hAnsi="Arial"/>
                <w:color w:val="333333"/>
                <w:sz w:val="20"/>
              </w:rPr>
              <w:t>notebooks/04_Machine_Learning.ipynb</w:t>
            </w:r>
          </w:p>
        </w:tc>
        <w:tc>
          <w:tcPr>
            <w:tcW w:type="dxa" w:w="4800"/>
            <w:shd w:fill="F2F2F2"/>
            <w:tcMar>
              <w:top w:w="100" w:type="dxa"/>
              <w:bottom w:w="100" w:type="dxa"/>
              <w:left w:w="150" w:type="dxa"/>
              <w:right w:w="150" w:type="dxa"/>
            </w:tcMar>
          </w:tcPr>
          <w:p>
            <w:pPr>
              <w:spacing w:after="0"/>
            </w:pPr>
            <w:r>
              <w:rPr>
                <w:rFonts w:ascii="Arial" w:hAnsi="Arial"/>
                <w:color w:val="333333"/>
                <w:sz w:val="20"/>
              </w:rPr>
              <w:t>Complete</w:t>
            </w:r>
          </w:p>
        </w:tc>
      </w:tr>
      <w:tr>
        <w:tc>
          <w:tcPr>
            <w:tcW w:type="dxa" w:w="4200"/>
            <w:tcMar>
              <w:top w:w="100" w:type="dxa"/>
              <w:bottom w:w="100" w:type="dxa"/>
              <w:left w:w="150" w:type="dxa"/>
              <w:right w:w="150" w:type="dxa"/>
            </w:tcMar>
          </w:tcPr>
          <w:p>
            <w:pPr>
              <w:spacing w:after="0"/>
            </w:pPr>
            <w:r>
              <w:rPr>
                <w:rFonts w:ascii="Arial" w:hAnsi="Arial"/>
                <w:color w:val="333333"/>
                <w:sz w:val="20"/>
              </w:rPr>
              <w:t>notebooks/05_Model_Evaluation.ipynb</w:t>
            </w:r>
          </w:p>
        </w:tc>
        <w:tc>
          <w:tcPr>
            <w:tcW w:type="dxa" w:w="4800"/>
            <w:tcMar>
              <w:top w:w="100" w:type="dxa"/>
              <w:bottom w:w="100" w:type="dxa"/>
              <w:left w:w="150" w:type="dxa"/>
              <w:right w:w="150" w:type="dxa"/>
            </w:tcMar>
          </w:tcPr>
          <w:p>
            <w:pPr>
              <w:spacing w:after="0"/>
            </w:pPr>
            <w:r>
              <w:rPr>
                <w:rFonts w:ascii="Arial" w:hAnsi="Arial"/>
                <w:color w:val="333333"/>
                <w:sz w:val="20"/>
              </w:rPr>
              <w:t>Complete</w:t>
            </w:r>
          </w:p>
        </w:tc>
      </w:tr>
      <w:tr>
        <w:tc>
          <w:tcPr>
            <w:tcW w:type="dxa" w:w="4200"/>
            <w:shd w:fill="F2F2F2"/>
            <w:tcMar>
              <w:top w:w="100" w:type="dxa"/>
              <w:bottom w:w="100" w:type="dxa"/>
              <w:left w:w="150" w:type="dxa"/>
              <w:right w:w="150" w:type="dxa"/>
            </w:tcMar>
          </w:tcPr>
          <w:p>
            <w:pPr>
              <w:spacing w:after="0"/>
            </w:pPr>
            <w:r>
              <w:rPr>
                <w:rFonts w:ascii="Arial" w:hAnsi="Arial"/>
                <w:color w:val="333333"/>
                <w:sz w:val="20"/>
              </w:rPr>
              <w:t>models/</w:t>
            </w:r>
          </w:p>
        </w:tc>
        <w:tc>
          <w:tcPr>
            <w:tcW w:type="dxa" w:w="4800"/>
            <w:shd w:fill="F2F2F2"/>
            <w:tcMar>
              <w:top w:w="100" w:type="dxa"/>
              <w:bottom w:w="100" w:type="dxa"/>
              <w:left w:w="150" w:type="dxa"/>
              <w:right w:w="150" w:type="dxa"/>
            </w:tcMar>
          </w:tcPr>
          <w:p>
            <w:pPr>
              <w:spacing w:after="0"/>
            </w:pPr>
            <w:r>
              <w:rPr>
                <w:rFonts w:ascii="Arial" w:hAnsi="Arial"/>
                <w:color w:val="333333"/>
                <w:sz w:val="20"/>
              </w:rPr>
              <w:t>Complete — 5 trained models + splits + best model</w:t>
            </w:r>
          </w:p>
        </w:tc>
      </w:tr>
      <w:tr>
        <w:tc>
          <w:tcPr>
            <w:tcW w:type="dxa" w:w="4200"/>
            <w:tcMar>
              <w:top w:w="100" w:type="dxa"/>
              <w:bottom w:w="100" w:type="dxa"/>
              <w:left w:w="150" w:type="dxa"/>
              <w:right w:w="150" w:type="dxa"/>
            </w:tcMar>
          </w:tcPr>
          <w:p>
            <w:pPr>
              <w:spacing w:after="0"/>
            </w:pPr>
            <w:r>
              <w:rPr>
                <w:rFonts w:ascii="Arial" w:hAnsi="Arial"/>
                <w:color w:val="333333"/>
                <w:sz w:val="20"/>
              </w:rPr>
              <w:t>dashboards/Excel/Asthma_Dashboard.xlsx</w:t>
            </w:r>
          </w:p>
        </w:tc>
        <w:tc>
          <w:tcPr>
            <w:tcW w:type="dxa" w:w="4800"/>
            <w:tcMar>
              <w:top w:w="100" w:type="dxa"/>
              <w:bottom w:w="100" w:type="dxa"/>
              <w:left w:w="150" w:type="dxa"/>
              <w:right w:w="150" w:type="dxa"/>
            </w:tcMar>
          </w:tcPr>
          <w:p>
            <w:pPr>
              <w:spacing w:after="0"/>
            </w:pPr>
            <w:r>
              <w:rPr>
                <w:rFonts w:ascii="Arial" w:hAnsi="Arial"/>
                <w:color w:val="333333"/>
                <w:sz w:val="20"/>
              </w:rPr>
              <w:t>Complete</w:t>
            </w:r>
          </w:p>
        </w:tc>
      </w:tr>
      <w:tr>
        <w:tc>
          <w:tcPr>
            <w:tcW w:type="dxa" w:w="4200"/>
            <w:shd w:fill="F2F2F2"/>
            <w:tcMar>
              <w:top w:w="100" w:type="dxa"/>
              <w:bottom w:w="100" w:type="dxa"/>
              <w:left w:w="150" w:type="dxa"/>
              <w:right w:w="150" w:type="dxa"/>
            </w:tcMar>
          </w:tcPr>
          <w:p>
            <w:pPr>
              <w:spacing w:after="0"/>
            </w:pPr>
            <w:r>
              <w:rPr>
                <w:rFonts w:ascii="Arial" w:hAnsi="Arial"/>
                <w:color w:val="333333"/>
                <w:sz w:val="20"/>
              </w:rPr>
              <w:t>dashboards/PowerBI/, dashboards/Tableau/</w:t>
            </w:r>
          </w:p>
        </w:tc>
        <w:tc>
          <w:tcPr>
            <w:tcW w:type="dxa" w:w="4800"/>
            <w:shd w:fill="F2F2F2"/>
            <w:tcMar>
              <w:top w:w="100" w:type="dxa"/>
              <w:bottom w:w="100" w:type="dxa"/>
              <w:left w:w="150" w:type="dxa"/>
              <w:right w:w="150" w:type="dxa"/>
            </w:tcMar>
          </w:tcPr>
          <w:p>
            <w:pPr>
              <w:spacing w:after="0"/>
            </w:pPr>
            <w:r>
              <w:rPr>
                <w:rFonts w:ascii="Arial" w:hAnsi="Arial"/>
                <w:color w:val="333333"/>
                <w:sz w:val="20"/>
              </w:rPr>
              <w:t>Not yet built — see companion README</w:t>
            </w:r>
          </w:p>
        </w:tc>
      </w:tr>
      <w:tr>
        <w:tc>
          <w:tcPr>
            <w:tcW w:type="dxa" w:w="4200"/>
            <w:tcMar>
              <w:top w:w="100" w:type="dxa"/>
              <w:bottom w:w="100" w:type="dxa"/>
              <w:left w:w="150" w:type="dxa"/>
              <w:right w:w="150" w:type="dxa"/>
            </w:tcMar>
          </w:tcPr>
          <w:p>
            <w:pPr>
              <w:spacing w:after="0"/>
            </w:pPr>
            <w:r>
              <w:rPr>
                <w:rFonts w:ascii="Arial" w:hAnsi="Arial"/>
                <w:color w:val="333333"/>
                <w:sz w:val="20"/>
              </w:rPr>
              <w:t>data/GBD Data/, database/, chatbot/, reports/, docs/</w:t>
            </w:r>
          </w:p>
        </w:tc>
        <w:tc>
          <w:tcPr>
            <w:tcW w:type="dxa" w:w="4800"/>
            <w:tcMar>
              <w:top w:w="100" w:type="dxa"/>
              <w:bottom w:w="100" w:type="dxa"/>
              <w:left w:w="150" w:type="dxa"/>
              <w:right w:w="150" w:type="dxa"/>
            </w:tcMar>
          </w:tcPr>
          <w:p>
            <w:pPr>
              <w:spacing w:after="0"/>
            </w:pPr>
            <w:r>
              <w:rPr>
                <w:rFonts w:ascii="Arial" w:hAnsi="Arial"/>
                <w:color w:val="333333"/>
                <w:sz w:val="20"/>
              </w:rPr>
              <w:t>Placeholder folders, not yet built</w:t>
            </w:r>
          </w:p>
        </w:tc>
      </w:tr>
    </w:tbl>
    <w:p>
      <w:pPr>
        <w:spacing w:after="240"/>
      </w:pPr>
    </w:p>
    <w:p>
      <w:pPr>
        <w:keepNext/>
        <w:spacing w:before="400" w:after="200"/>
      </w:pPr>
      <w:r>
        <w:rPr>
          <w:b/>
          <w:color w:val="1F4E78"/>
          <w:sz w:val="30"/>
        </w:rPr>
        <w:t>9. Recommendations &amp; Future Work</w:t>
      </w:r>
    </w:p>
    <w:p>
      <w:pPr>
        <w:pStyle w:val="ListBullet"/>
        <w:spacing w:after="80"/>
      </w:pPr>
      <w:r>
        <w:rPr>
          <w:color w:val="222222"/>
          <w:sz w:val="22"/>
        </w:rPr>
        <w:t>Treat the current ML results as a baseline on synthetic data, not a validated clinical model</w:t>
      </w:r>
    </w:p>
    <w:p>
      <w:pPr>
        <w:pStyle w:val="ListBullet"/>
        <w:spacing w:after="80"/>
      </w:pPr>
      <w:r>
        <w:rPr>
          <w:color w:val="222222"/>
          <w:sz w:val="22"/>
        </w:rPr>
        <w:t>If richer or real patient data becomes available, re-run notebooks 03–05 unchanged — they're built to work on any dataset matching the same schema</w:t>
      </w:r>
    </w:p>
    <w:p>
      <w:pPr>
        <w:pStyle w:val="ListBullet"/>
        <w:spacing w:after="80"/>
      </w:pPr>
      <w:r>
        <w:rPr>
          <w:color w:val="222222"/>
          <w:sz w:val="22"/>
        </w:rPr>
        <w:t>Consider adding SHAP/LIME explainability once a model shows genuine predictive signal</w:t>
      </w:r>
    </w:p>
    <w:p>
      <w:pPr>
        <w:pStyle w:val="ListBullet"/>
        <w:spacing w:after="80"/>
      </w:pPr>
      <w:r>
        <w:rPr>
          <w:color w:val="222222"/>
          <w:sz w:val="22"/>
        </w:rPr>
        <w:t>Extend the Excel dashboard's filter set (e.g. add risk-factor count) using the same MatchFilter pattern</w:t>
      </w:r>
    </w:p>
    <w:p>
      <w:pPr>
        <w:pStyle w:val="ListBullet"/>
        <w:spacing w:after="80"/>
      </w:pPr>
      <w:r>
        <w:rPr>
          <w:color w:val="222222"/>
          <w:sz w:val="22"/>
        </w:rPr>
        <w:t>Build the Power BI and Tableau equivalents using the companion Dashboard Creation Guide</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Global Asthma Burden — Patient-Level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