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00B4D8"/>
          <w:spacing w:val="20"/>
          <w:sz w:val="22"/>
          <w:szCs w:val="22"/>
        </w:rPr>
        <w:t xml:space="preserve">GRADUATION PROJECT REPORT</w:t>
      </w:r>
    </w:p>
    <w:p>
      <w:pPr>
        <w:spacing w:after="300"/>
        <w:jc w:val="center"/>
      </w:pPr>
      <w:r>
        <w:rPr>
          <w:rFonts w:ascii="Cambria" w:cs="Cambria" w:eastAsia="Cambria" w:hAnsi="Cambria"/>
          <w:b/>
          <w:bCs/>
          <w:color w:val="0A5C8A"/>
          <w:sz w:val="48"/>
          <w:szCs w:val="48"/>
        </w:rPr>
        <w:t xml:space="preserve">Kidney Disease Classification Using Deep Learning (CNN)</w:t>
      </w:r>
    </w:p>
    <w:p>
      <w:pPr>
        <w:spacing w:after="1200"/>
        <w:jc w:val="center"/>
      </w:pPr>
      <w:r>
        <w:rPr>
          <w:rFonts w:ascii="Calibri" w:cs="Calibri" w:eastAsia="Calibri" w:hAnsi="Calibri"/>
          <w:i/>
          <w:iCs/>
          <w:color w:val="51707F"/>
          <w:sz w:val="24"/>
          <w:szCs w:val="24"/>
        </w:rPr>
        <w:t xml:space="preserve">A Convolutional Neural Network approach to classifying CT kidney images into Normal, Cyst, Stone, and Tumor categories</w:t>
      </w:r>
    </w:p>
    <w:p>
      <w:pPr>
        <w:pBdr>
          <w:top w:val="single" w:color="00B4D8" w:sz="6" w:space="8"/>
        </w:pBdr>
        <w:spacing w:after="0" w:before="1400"/>
        <w:jc w:val="center"/>
      </w:pPr>
    </w:p>
    <w:p>
      <w:pPr>
        <w:spacing w:after="40" w:before="260"/>
        <w:jc w:val="center"/>
      </w:pPr>
      <w:r>
        <w:rPr>
          <w:rFonts w:ascii="Calibri" w:cs="Calibri" w:eastAsia="Calibri" w:hAnsi="Calibri"/>
          <w:b/>
          <w:bCs/>
          <w:color w:val="153044"/>
          <w:sz w:val="24"/>
          <w:szCs w:val="24"/>
        </w:rPr>
        <w:t xml:space="preserve">Student Name</w:t>
      </w:r>
    </w:p>
    <w:p>
      <w:pPr>
        <w:spacing w:after="40"/>
        <w:jc w:val="center"/>
      </w:pPr>
      <w:r>
        <w:rPr>
          <w:rFonts w:ascii="Calibri" w:cs="Calibri" w:eastAsia="Calibri" w:hAnsi="Calibri"/>
          <w:color w:val="51707F"/>
          <w:sz w:val="22"/>
          <w:szCs w:val="22"/>
        </w:rPr>
        <w:t xml:space="preserve">Faculty of Computers and Information</w:t>
      </w:r>
    </w:p>
    <w:p>
      <w:r>
        <w:br w:type="page"/>
      </w:r>
    </w:p>
    <w:p>
      <w:pPr>
        <w:pStyle w:val="Heading1"/>
        <w:spacing w:after="160" w:before="320"/>
      </w:pPr>
      <w:r>
        <w:rPr>
          <w:rFonts w:ascii="Cambria" w:cs="Cambria" w:eastAsia="Cambria" w:hAnsi="Cambria"/>
          <w:b/>
          <w:bCs/>
          <w:color w:val="0A5C8A"/>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mbria" w:cs="Cambria" w:eastAsia="Cambria" w:hAnsi="Cambria"/>
          <w:b/>
          <w:bCs/>
          <w:color w:val="0A5C8A"/>
          <w:sz w:val="30"/>
          <w:szCs w:val="30"/>
        </w:rPr>
        <w:t xml:space="preserve">1. Project Overview</w:t>
      </w:r>
    </w:p>
    <w:p>
      <w:pPr>
        <w:spacing w:after="160" w:line="300"/>
      </w:pPr>
      <w:r>
        <w:rPr>
          <w:rFonts w:ascii="Calibri" w:cs="Calibri" w:eastAsia="Calibri" w:hAnsi="Calibri"/>
          <w:color w:val="153044"/>
          <w:sz w:val="22"/>
          <w:szCs w:val="22"/>
        </w:rPr>
        <w:t xml:space="preserve">The goal of this project is to classify computed tomography (CT) kidney images into four diagnostic classes using a deep learning Convolutional Neural Network (CNN): Normal, Cyst, Stone, and Tumor. Automating this classification can assist radiologists by providing a fast, consistent, second opinion when reviewing large volumes of CT scans.</w:t>
      </w:r>
    </w:p>
    <w:p>
      <w:pPr>
        <w:pStyle w:val="Heading2"/>
        <w:spacing w:after="100" w:before="220"/>
      </w:pPr>
      <w:r>
        <w:rPr>
          <w:rFonts w:ascii="Cambria" w:cs="Cambria" w:eastAsia="Cambria" w:hAnsi="Cambria"/>
          <w:b/>
          <w:bCs/>
          <w:color w:val="1478AC"/>
          <w:sz w:val="24"/>
          <w:szCs w:val="24"/>
        </w:rPr>
        <w:t xml:space="preserve">Target Classes</w:t>
      </w:r>
    </w:p>
    <w:p>
      <w:pPr>
        <w:pStyle w:val="ListParagraph"/>
        <w:numPr>
          <w:ilvl w:val="0"/>
          <w:numId w:val="2"/>
        </w:numPr>
        <w:spacing w:after="90"/>
      </w:pPr>
      <w:r>
        <w:rPr>
          <w:rFonts w:ascii="Calibri" w:cs="Calibri" w:eastAsia="Calibri" w:hAnsi="Calibri"/>
          <w:color w:val="153044"/>
          <w:sz w:val="22"/>
          <w:szCs w:val="22"/>
        </w:rPr>
        <w:t xml:space="preserve">Normal — healthy kidney tissue with no abnormalities</w:t>
      </w:r>
    </w:p>
    <w:p>
      <w:pPr>
        <w:pStyle w:val="ListParagraph"/>
        <w:numPr>
          <w:ilvl w:val="0"/>
          <w:numId w:val="2"/>
        </w:numPr>
        <w:spacing w:after="90"/>
      </w:pPr>
      <w:r>
        <w:rPr>
          <w:rFonts w:ascii="Calibri" w:cs="Calibri" w:eastAsia="Calibri" w:hAnsi="Calibri"/>
          <w:color w:val="153044"/>
          <w:sz w:val="22"/>
          <w:szCs w:val="22"/>
        </w:rPr>
        <w:t xml:space="preserve">Cyst — a fluid-filled sac within or on the kidney</w:t>
      </w:r>
    </w:p>
    <w:p>
      <w:pPr>
        <w:pStyle w:val="ListParagraph"/>
        <w:numPr>
          <w:ilvl w:val="0"/>
          <w:numId w:val="2"/>
        </w:numPr>
        <w:spacing w:after="90"/>
      </w:pPr>
      <w:r>
        <w:rPr>
          <w:rFonts w:ascii="Calibri" w:cs="Calibri" w:eastAsia="Calibri" w:hAnsi="Calibri"/>
          <w:color w:val="153044"/>
          <w:sz w:val="22"/>
          <w:szCs w:val="22"/>
        </w:rPr>
        <w:t xml:space="preserve">Stone — a mineral deposit (kidney stone) visible on the scan</w:t>
      </w:r>
    </w:p>
    <w:p>
      <w:pPr>
        <w:pStyle w:val="ListParagraph"/>
        <w:numPr>
          <w:ilvl w:val="0"/>
          <w:numId w:val="2"/>
        </w:numPr>
        <w:spacing w:after="90"/>
      </w:pPr>
      <w:r>
        <w:rPr>
          <w:rFonts w:ascii="Calibri" w:cs="Calibri" w:eastAsia="Calibri" w:hAnsi="Calibri"/>
          <w:color w:val="153044"/>
          <w:sz w:val="22"/>
          <w:szCs w:val="22"/>
        </w:rPr>
        <w:t xml:space="preserve">Tumor — an abnormal growth of tissue</w:t>
      </w:r>
    </w:p>
    <w:p>
      <w:pPr>
        <w:pStyle w:val="Heading1"/>
        <w:spacing w:after="160" w:before="320"/>
      </w:pPr>
      <w:r>
        <w:rPr>
          <w:rFonts w:ascii="Cambria" w:cs="Cambria" w:eastAsia="Cambria" w:hAnsi="Cambria"/>
          <w:b/>
          <w:bCs/>
          <w:color w:val="0A5C8A"/>
          <w:sz w:val="30"/>
          <w:szCs w:val="30"/>
        </w:rPr>
        <w:t xml:space="preserve">2. Dataset</w:t>
      </w:r>
    </w:p>
    <w:p>
      <w:pPr>
        <w:spacing w:after="160" w:line="300"/>
      </w:pPr>
      <w:r>
        <w:rPr>
          <w:rFonts w:ascii="Calibri" w:cs="Calibri" w:eastAsia="Calibri" w:hAnsi="Calibri"/>
          <w:color w:val="153044"/>
          <w:sz w:val="22"/>
          <w:szCs w:val="22"/>
        </w:rPr>
        <w:t xml:space="preserve">The model was trained on the CT Kidney Dataset from Kaggle, which contains labeled CT images across the four target classes. All images were resized to 224×224 pixels to match the CNN's input layer, and the dataset was split into training and validation subsets.</w:t>
      </w:r>
    </w:p>
    <w:tbl>
      <w:tblPr>
        <w:tblW w:type="dxa" w:w="9400"/>
        <w:tblBorders>
          <w:top w:val="single" w:color="D9E6EC" w:sz="4"/>
          <w:left w:val="single" w:color="D9E6EC" w:sz="4"/>
          <w:bottom w:val="single" w:color="D9E6EC" w:sz="4"/>
          <w:right w:val="single" w:color="D9E6EC" w:sz="4"/>
          <w:insideH w:val="single" w:color="D9E6EC" w:sz="4"/>
          <w:insideV w:val="single" w:color="D9E6EC" w:sz="4"/>
        </w:tblBorders>
      </w:tblPr>
      <w:tblGrid>
        <w:gridCol w:w="3200"/>
        <w:gridCol w:w="6200"/>
      </w:tblGrid>
      <w:tr>
        <w:trPr>
          <w:tblHeader/>
        </w:trPr>
        <w:tc>
          <w:tcPr>
            <w:tcW w:type="dxa" w:w="3200"/>
            <w:shd w:fill="0A5C8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Property</w:t>
            </w:r>
          </w:p>
        </w:tc>
        <w:tc>
          <w:tcPr>
            <w:tcW w:type="dxa" w:w="6200"/>
            <w:shd w:fill="0A5C8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Detail</w:t>
            </w:r>
          </w:p>
        </w:tc>
      </w:tr>
      <w:tr>
        <w:tc>
          <w:tcPr>
            <w:tcW w:type="dxa" w:w="32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Source</w:t>
            </w:r>
          </w:p>
        </w:tc>
        <w:tc>
          <w:tcPr>
            <w:tcW w:type="dxa" w:w="62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CT Kidney Dataset (Kaggle)</w:t>
            </w:r>
          </w:p>
        </w:tc>
      </w:tr>
      <w:tr>
        <w:tc>
          <w:tcPr>
            <w:tcW w:type="dxa" w:w="32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Classes</w:t>
            </w:r>
          </w:p>
        </w:tc>
        <w:tc>
          <w:tcPr>
            <w:tcW w:type="dxa" w:w="62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Normal, Cyst, Stone, Tumor</w:t>
            </w:r>
          </w:p>
        </w:tc>
      </w:tr>
      <w:tr>
        <w:tc>
          <w:tcPr>
            <w:tcW w:type="dxa" w:w="32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Image size</w:t>
            </w:r>
          </w:p>
        </w:tc>
        <w:tc>
          <w:tcPr>
            <w:tcW w:type="dxa" w:w="62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224 × 224 pixels</w:t>
            </w:r>
          </w:p>
        </w:tc>
      </w:tr>
      <w:tr>
        <w:tc>
          <w:tcPr>
            <w:tcW w:type="dxa" w:w="32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Data split</w:t>
            </w:r>
          </w:p>
        </w:tc>
        <w:tc>
          <w:tcPr>
            <w:tcW w:type="dxa" w:w="62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80% Training / 20% Validation</w:t>
            </w:r>
          </w:p>
        </w:tc>
      </w:tr>
    </w:tbl>
    <w:p>
      <w:pPr>
        <w:spacing w:before="120"/>
        <w:jc w:val="center"/>
      </w:pPr>
      <w:r>
        <w:drawing>
          <wp:inline distT="0" distB="0" distL="0" distR="0">
            <wp:extent cx="301752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7520" cy="3017520"/>
                    </a:xfrm>
                    <a:prstGeom prst="rect">
                      <a:avLst/>
                    </a:prstGeom>
                  </pic:spPr>
                </pic:pic>
              </a:graphicData>
            </a:graphic>
          </wp:inline>
        </w:drawing>
      </w:r>
    </w:p>
    <w:p>
      <w:pPr>
        <w:spacing w:after="260" w:before="60"/>
        <w:jc w:val="center"/>
      </w:pPr>
      <w:r>
        <w:rPr>
          <w:rFonts w:ascii="Calibri" w:cs="Calibri" w:eastAsia="Calibri" w:hAnsi="Calibri"/>
          <w:i/>
          <w:iCs/>
          <w:color w:val="51707F"/>
          <w:sz w:val="18"/>
          <w:szCs w:val="18"/>
        </w:rPr>
        <w:t xml:space="preserve">Figure 1. Training vs. validation split (80% / 20%).</w:t>
      </w:r>
    </w:p>
    <w:p>
      <w:pPr>
        <w:pStyle w:val="Heading1"/>
        <w:spacing w:after="160" w:before="320"/>
      </w:pPr>
      <w:r>
        <w:rPr>
          <w:rFonts w:ascii="Cambria" w:cs="Cambria" w:eastAsia="Cambria" w:hAnsi="Cambria"/>
          <w:b/>
          <w:bCs/>
          <w:color w:val="0A5C8A"/>
          <w:sz w:val="30"/>
          <w:szCs w:val="30"/>
        </w:rPr>
        <w:t xml:space="preserve">3. Data Preprocessing</w:t>
      </w:r>
    </w:p>
    <w:p>
      <w:pPr>
        <w:spacing w:after="160" w:line="300"/>
      </w:pPr>
      <w:r>
        <w:rPr>
          <w:rFonts w:ascii="Calibri" w:cs="Calibri" w:eastAsia="Calibri" w:hAnsi="Calibri"/>
          <w:color w:val="153044"/>
          <w:sz w:val="22"/>
          <w:szCs w:val="22"/>
        </w:rPr>
        <w:t xml:space="preserve">Before training, the raw dataset was cleaned and standardized through the following steps:</w:t>
      </w:r>
    </w:p>
    <w:p>
      <w:pPr>
        <w:pStyle w:val="ListParagraph"/>
        <w:numPr>
          <w:ilvl w:val="0"/>
          <w:numId w:val="3"/>
        </w:numPr>
        <w:spacing w:after="90"/>
      </w:pPr>
      <w:r>
        <w:rPr>
          <w:rFonts w:ascii="Calibri" w:cs="Calibri" w:eastAsia="Calibri" w:hAnsi="Calibri"/>
          <w:color w:val="153044"/>
          <w:sz w:val="22"/>
          <w:szCs w:val="22"/>
        </w:rPr>
        <w:t xml:space="preserve">Remove duplicates — duplicate CT scans were identified and removed to prevent data leakage between training and validation sets.</w:t>
      </w:r>
    </w:p>
    <w:p>
      <w:pPr>
        <w:pStyle w:val="ListParagraph"/>
        <w:numPr>
          <w:ilvl w:val="0"/>
          <w:numId w:val="3"/>
        </w:numPr>
        <w:spacing w:after="90"/>
      </w:pPr>
      <w:r>
        <w:rPr>
          <w:rFonts w:ascii="Calibri" w:cs="Calibri" w:eastAsia="Calibri" w:hAnsi="Calibri"/>
          <w:color w:val="153044"/>
          <w:sz w:val="22"/>
          <w:szCs w:val="22"/>
        </w:rPr>
        <w:t xml:space="preserve">Remove missing values — corrupted or missing image entries were filtered out of the dataset.</w:t>
      </w:r>
    </w:p>
    <w:p>
      <w:pPr>
        <w:pStyle w:val="ListParagraph"/>
        <w:numPr>
          <w:ilvl w:val="0"/>
          <w:numId w:val="3"/>
        </w:numPr>
        <w:spacing w:after="90"/>
      </w:pPr>
      <w:r>
        <w:rPr>
          <w:rFonts w:ascii="Calibri" w:cs="Calibri" w:eastAsia="Calibri" w:hAnsi="Calibri"/>
          <w:color w:val="153044"/>
          <w:sz w:val="22"/>
          <w:szCs w:val="22"/>
        </w:rPr>
        <w:t xml:space="preserve">Normalize pixel values — pixel intensities were scaled to a 0-1 range to stabilize and speed up training.</w:t>
      </w:r>
    </w:p>
    <w:p>
      <w:pPr>
        <w:pStyle w:val="ListParagraph"/>
        <w:numPr>
          <w:ilvl w:val="0"/>
          <w:numId w:val="3"/>
        </w:numPr>
        <w:spacing w:after="90"/>
      </w:pPr>
      <w:r>
        <w:rPr>
          <w:rFonts w:ascii="Calibri" w:cs="Calibri" w:eastAsia="Calibri" w:hAnsi="Calibri"/>
          <w:color w:val="153044"/>
          <w:sz w:val="22"/>
          <w:szCs w:val="22"/>
        </w:rPr>
        <w:t xml:space="preserve">Image loading (TensorFlow) — images were loaded and batched using the TensorFlow data pipeline for efficient training.</w:t>
      </w:r>
    </w:p>
    <w:p>
      <w:pPr>
        <w:pStyle w:val="Heading1"/>
        <w:spacing w:after="160" w:before="320"/>
      </w:pPr>
      <w:r>
        <w:rPr>
          <w:rFonts w:ascii="Cambria" w:cs="Cambria" w:eastAsia="Cambria" w:hAnsi="Cambria"/>
          <w:b/>
          <w:bCs/>
          <w:color w:val="0A5C8A"/>
          <w:sz w:val="30"/>
          <w:szCs w:val="30"/>
        </w:rPr>
        <w:t xml:space="preserve">4. Exploratory Data Analysis (EDA)</w:t>
      </w:r>
    </w:p>
    <w:p>
      <w:pPr>
        <w:spacing w:after="160" w:line="300"/>
      </w:pPr>
      <w:r>
        <w:rPr>
          <w:rFonts w:ascii="Calibri" w:cs="Calibri" w:eastAsia="Calibri" w:hAnsi="Calibri"/>
          <w:color w:val="153044"/>
          <w:sz w:val="22"/>
          <w:szCs w:val="22"/>
        </w:rPr>
        <w:t xml:space="preserve">Before modeling, the dataset was explored to understand its overall composition and quality.</w:t>
      </w:r>
    </w:p>
    <w:p>
      <w:pPr>
        <w:pStyle w:val="ListParagraph"/>
        <w:numPr>
          <w:ilvl w:val="0"/>
          <w:numId w:val="2"/>
        </w:numPr>
        <w:spacing w:after="90"/>
      </w:pPr>
      <w:r>
        <w:rPr>
          <w:rFonts w:ascii="Calibri" w:cs="Calibri" w:eastAsia="Calibri" w:hAnsi="Calibri"/>
          <w:color w:val="153044"/>
          <w:sz w:val="22"/>
          <w:szCs w:val="22"/>
        </w:rPr>
        <w:t xml:space="preserve">Dataset overview: 12,446 total CT images across the four classes.</w:t>
      </w:r>
    </w:p>
    <w:p>
      <w:pPr>
        <w:pStyle w:val="ListParagraph"/>
        <w:numPr>
          <w:ilvl w:val="0"/>
          <w:numId w:val="2"/>
        </w:numPr>
        <w:spacing w:after="90"/>
      </w:pPr>
      <w:r>
        <w:rPr>
          <w:rFonts w:ascii="Calibri" w:cs="Calibri" w:eastAsia="Calibri" w:hAnsi="Calibri"/>
          <w:color w:val="153044"/>
          <w:sz w:val="22"/>
          <w:szCs w:val="22"/>
        </w:rPr>
        <w:t xml:space="preserve">Missing values: none found after the cleaning step.</w:t>
      </w:r>
    </w:p>
    <w:p>
      <w:pPr>
        <w:pStyle w:val="ListParagraph"/>
        <w:numPr>
          <w:ilvl w:val="0"/>
          <w:numId w:val="2"/>
        </w:numPr>
        <w:spacing w:after="90"/>
      </w:pPr>
      <w:r>
        <w:rPr>
          <w:rFonts w:ascii="Calibri" w:cs="Calibri" w:eastAsia="Calibri" w:hAnsi="Calibri"/>
          <w:color w:val="153044"/>
          <w:sz w:val="22"/>
          <w:szCs w:val="22"/>
        </w:rPr>
        <w:t xml:space="preserve">Duplicate values: checked and removed.</w:t>
      </w:r>
    </w:p>
    <w:p>
      <w:pPr>
        <w:pStyle w:val="ListParagraph"/>
        <w:numPr>
          <w:ilvl w:val="0"/>
          <w:numId w:val="2"/>
        </w:numPr>
        <w:spacing w:after="90"/>
      </w:pPr>
      <w:r>
        <w:rPr>
          <w:rFonts w:ascii="Calibri" w:cs="Calibri" w:eastAsia="Calibri" w:hAnsi="Calibri"/>
          <w:color w:val="153044"/>
          <w:sz w:val="22"/>
          <w:szCs w:val="22"/>
        </w:rPr>
        <w:t xml:space="preserve">Class distribution: classes are imbalanced, with Normal and Cyst being the most represented and Stone the least.</w:t>
      </w:r>
    </w:p>
    <w:p>
      <w:pPr>
        <w:spacing w:before="120"/>
        <w:jc w:val="center"/>
      </w:pPr>
      <w:r>
        <w:drawing>
          <wp:inline distT="0" distB="0" distL="0" distR="0">
            <wp:extent cx="493776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7760" cy="2743200"/>
                    </a:xfrm>
                    <a:prstGeom prst="rect">
                      <a:avLst/>
                    </a:prstGeom>
                  </pic:spPr>
                </pic:pic>
              </a:graphicData>
            </a:graphic>
          </wp:inline>
        </w:drawing>
      </w:r>
    </w:p>
    <w:p>
      <w:pPr>
        <w:spacing w:after="260" w:before="60"/>
        <w:jc w:val="center"/>
      </w:pPr>
      <w:r>
        <w:rPr>
          <w:rFonts w:ascii="Calibri" w:cs="Calibri" w:eastAsia="Calibri" w:hAnsi="Calibri"/>
          <w:i/>
          <w:iCs/>
          <w:color w:val="51707F"/>
          <w:sz w:val="18"/>
          <w:szCs w:val="18"/>
        </w:rPr>
        <w:t xml:space="preserve">Figure 2. Number of images per class.</w:t>
      </w:r>
    </w:p>
    <w:p>
      <w:pPr>
        <w:pStyle w:val="Heading1"/>
        <w:spacing w:after="160" w:before="320"/>
      </w:pPr>
      <w:r>
        <w:rPr>
          <w:rFonts w:ascii="Cambria" w:cs="Cambria" w:eastAsia="Cambria" w:hAnsi="Cambria"/>
          <w:b/>
          <w:bCs/>
          <w:color w:val="0A5C8A"/>
          <w:sz w:val="30"/>
          <w:szCs w:val="30"/>
        </w:rPr>
        <w:t xml:space="preserve">5. CNN Architecture</w:t>
      </w:r>
    </w:p>
    <w:p>
      <w:pPr>
        <w:spacing w:after="160" w:line="300"/>
      </w:pPr>
      <w:r>
        <w:rPr>
          <w:rFonts w:ascii="Calibri" w:cs="Calibri" w:eastAsia="Calibri" w:hAnsi="Calibri"/>
          <w:color w:val="153044"/>
          <w:sz w:val="22"/>
          <w:szCs w:val="22"/>
        </w:rPr>
        <w:t xml:space="preserve">The classification model is a custom Convolutional Neural Network built from stacked convolution, pooling, and dense layers. The table below lists the layers in order, from input to output.</w:t>
      </w:r>
    </w:p>
    <w:tbl>
      <w:tblPr>
        <w:tblW w:type="dxa" w:w="8400"/>
        <w:tblBorders>
          <w:top w:val="single" w:color="D9E6EC" w:sz="4"/>
          <w:left w:val="single" w:color="D9E6EC" w:sz="4"/>
          <w:bottom w:val="single" w:color="D9E6EC" w:sz="4"/>
          <w:right w:val="single" w:color="D9E6EC" w:sz="4"/>
          <w:insideH w:val="single" w:color="D9E6EC" w:sz="4"/>
          <w:insideV w:val="single" w:color="D9E6EC" w:sz="4"/>
        </w:tblBorders>
      </w:tblPr>
      <w:tblGrid>
        <w:gridCol w:w="900"/>
        <w:gridCol w:w="3600"/>
        <w:gridCol w:w="3900"/>
      </w:tblGrid>
      <w:tr>
        <w:trPr>
          <w:tblHeader/>
        </w:trPr>
        <w:tc>
          <w:tcPr>
            <w:tcW w:type="dxa" w:w="900"/>
            <w:shd w:fill="0A5C8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3600"/>
            <w:shd w:fill="0A5C8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Layer</w:t>
            </w:r>
          </w:p>
        </w:tc>
        <w:tc>
          <w:tcPr>
            <w:tcW w:type="dxa" w:w="3900"/>
            <w:shd w:fill="0A5C8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Configuration</w:t>
            </w:r>
          </w:p>
        </w:tc>
      </w:tr>
      <w:tr>
        <w:tc>
          <w:tcPr>
            <w:tcW w:type="dxa" w:w="9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1</w:t>
            </w:r>
          </w:p>
        </w:tc>
        <w:tc>
          <w:tcPr>
            <w:tcW w:type="dxa" w:w="36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Conv2D</w:t>
            </w:r>
          </w:p>
        </w:tc>
        <w:tc>
          <w:tcPr>
            <w:tcW w:type="dxa" w:w="39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32 filters</w:t>
            </w:r>
          </w:p>
        </w:tc>
      </w:tr>
      <w:tr>
        <w:tc>
          <w:tcPr>
            <w:tcW w:type="dxa" w:w="9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2</w:t>
            </w:r>
          </w:p>
        </w:tc>
        <w:tc>
          <w:tcPr>
            <w:tcW w:type="dxa" w:w="36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MaxPooling2D</w:t>
            </w:r>
          </w:p>
        </w:tc>
        <w:tc>
          <w:tcPr>
            <w:tcW w:type="dxa" w:w="39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2×2 pool size</w:t>
            </w:r>
          </w:p>
        </w:tc>
      </w:tr>
      <w:tr>
        <w:tc>
          <w:tcPr>
            <w:tcW w:type="dxa" w:w="9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3</w:t>
            </w:r>
          </w:p>
        </w:tc>
        <w:tc>
          <w:tcPr>
            <w:tcW w:type="dxa" w:w="36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Conv2D</w:t>
            </w:r>
          </w:p>
        </w:tc>
        <w:tc>
          <w:tcPr>
            <w:tcW w:type="dxa" w:w="39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64 filters</w:t>
            </w:r>
          </w:p>
        </w:tc>
      </w:tr>
      <w:tr>
        <w:tc>
          <w:tcPr>
            <w:tcW w:type="dxa" w:w="9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4</w:t>
            </w:r>
          </w:p>
        </w:tc>
        <w:tc>
          <w:tcPr>
            <w:tcW w:type="dxa" w:w="36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MaxPooling2D</w:t>
            </w:r>
          </w:p>
        </w:tc>
        <w:tc>
          <w:tcPr>
            <w:tcW w:type="dxa" w:w="39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2×2 pool size</w:t>
            </w:r>
          </w:p>
        </w:tc>
      </w:tr>
      <w:tr>
        <w:tc>
          <w:tcPr>
            <w:tcW w:type="dxa" w:w="9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5</w:t>
            </w:r>
          </w:p>
        </w:tc>
        <w:tc>
          <w:tcPr>
            <w:tcW w:type="dxa" w:w="36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Conv2D</w:t>
            </w:r>
          </w:p>
        </w:tc>
        <w:tc>
          <w:tcPr>
            <w:tcW w:type="dxa" w:w="39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128 filters</w:t>
            </w:r>
          </w:p>
        </w:tc>
      </w:tr>
      <w:tr>
        <w:tc>
          <w:tcPr>
            <w:tcW w:type="dxa" w:w="9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6</w:t>
            </w:r>
          </w:p>
        </w:tc>
        <w:tc>
          <w:tcPr>
            <w:tcW w:type="dxa" w:w="36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MaxPooling2D</w:t>
            </w:r>
          </w:p>
        </w:tc>
        <w:tc>
          <w:tcPr>
            <w:tcW w:type="dxa" w:w="39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2×2 pool size</w:t>
            </w:r>
          </w:p>
        </w:tc>
      </w:tr>
      <w:tr>
        <w:tc>
          <w:tcPr>
            <w:tcW w:type="dxa" w:w="9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7</w:t>
            </w:r>
          </w:p>
        </w:tc>
        <w:tc>
          <w:tcPr>
            <w:tcW w:type="dxa" w:w="36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Flatten</w:t>
            </w:r>
          </w:p>
        </w:tc>
        <w:tc>
          <w:tcPr>
            <w:tcW w:type="dxa" w:w="39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1D feature vector</w:t>
            </w:r>
          </w:p>
        </w:tc>
      </w:tr>
      <w:tr>
        <w:tc>
          <w:tcPr>
            <w:tcW w:type="dxa" w:w="9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8</w:t>
            </w:r>
          </w:p>
        </w:tc>
        <w:tc>
          <w:tcPr>
            <w:tcW w:type="dxa" w:w="36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Dense</w:t>
            </w:r>
          </w:p>
        </w:tc>
        <w:tc>
          <w:tcPr>
            <w:tcW w:type="dxa" w:w="39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128 units</w:t>
            </w:r>
          </w:p>
        </w:tc>
      </w:tr>
      <w:tr>
        <w:tc>
          <w:tcPr>
            <w:tcW w:type="dxa" w:w="9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9</w:t>
            </w:r>
          </w:p>
        </w:tc>
        <w:tc>
          <w:tcPr>
            <w:tcW w:type="dxa" w:w="36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Dropout</w:t>
            </w:r>
          </w:p>
        </w:tc>
        <w:tc>
          <w:tcPr>
            <w:tcW w:type="dxa" w:w="39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rate = 0.5</w:t>
            </w:r>
          </w:p>
        </w:tc>
      </w:tr>
      <w:tr>
        <w:tc>
          <w:tcPr>
            <w:tcW w:type="dxa" w:w="9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10</w:t>
            </w:r>
          </w:p>
        </w:tc>
        <w:tc>
          <w:tcPr>
            <w:tcW w:type="dxa" w:w="36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Dense (Softmax)</w:t>
            </w:r>
          </w:p>
        </w:tc>
        <w:tc>
          <w:tcPr>
            <w:tcW w:type="dxa" w:w="39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4-class output</w:t>
            </w:r>
          </w:p>
        </w:tc>
      </w:tr>
    </w:tbl>
    <w:p>
      <w:pPr>
        <w:spacing w:after="160" w:line="300"/>
      </w:pPr>
      <w:r>
        <w:rPr>
          <w:rFonts w:ascii="Calibri" w:cs="Calibri" w:eastAsia="Calibri" w:hAnsi="Calibri"/>
          <w:i/>
          <w:iCs/>
          <w:color w:val="51707F"/>
          <w:sz w:val="22"/>
          <w:szCs w:val="22"/>
        </w:rPr>
        <w:t xml:space="preserve">The final Softmax layer outputs a probability distribution over the four diagnostic classes, and the class with the highest probability is taken as the model's prediction.</w:t>
      </w:r>
    </w:p>
    <w:p>
      <w:pPr>
        <w:pStyle w:val="Heading1"/>
        <w:spacing w:after="160" w:before="320"/>
      </w:pPr>
      <w:r>
        <w:rPr>
          <w:rFonts w:ascii="Cambria" w:cs="Cambria" w:eastAsia="Cambria" w:hAnsi="Cambria"/>
          <w:b/>
          <w:bCs/>
          <w:color w:val="0A5C8A"/>
          <w:sz w:val="30"/>
          <w:szCs w:val="30"/>
        </w:rPr>
        <w:t xml:space="preserve">6. Training</w:t>
      </w:r>
    </w:p>
    <w:p>
      <w:pPr>
        <w:spacing w:after="160" w:line="300"/>
      </w:pPr>
      <w:r>
        <w:rPr>
          <w:rFonts w:ascii="Calibri" w:cs="Calibri" w:eastAsia="Calibri" w:hAnsi="Calibri"/>
          <w:color w:val="153044"/>
          <w:sz w:val="22"/>
          <w:szCs w:val="22"/>
        </w:rPr>
        <w:t xml:space="preserve">The model was trained using the following configuration:</w:t>
      </w:r>
    </w:p>
    <w:tbl>
      <w:tblPr>
        <w:tblW w:type="dxa" w:w="9400"/>
        <w:tblBorders>
          <w:top w:val="single" w:color="D9E6EC" w:sz="4"/>
          <w:left w:val="single" w:color="D9E6EC" w:sz="4"/>
          <w:bottom w:val="single" w:color="D9E6EC" w:sz="4"/>
          <w:right w:val="single" w:color="D9E6EC" w:sz="4"/>
          <w:insideH w:val="single" w:color="D9E6EC" w:sz="4"/>
          <w:insideV w:val="single" w:color="D9E6EC" w:sz="4"/>
        </w:tblBorders>
      </w:tblPr>
      <w:tblGrid>
        <w:gridCol w:w="3200"/>
        <w:gridCol w:w="6200"/>
      </w:tblGrid>
      <w:tr>
        <w:trPr>
          <w:tblHeader/>
        </w:trPr>
        <w:tc>
          <w:tcPr>
            <w:tcW w:type="dxa" w:w="3200"/>
            <w:shd w:fill="0A5C8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Parameter</w:t>
            </w:r>
          </w:p>
        </w:tc>
        <w:tc>
          <w:tcPr>
            <w:tcW w:type="dxa" w:w="6200"/>
            <w:shd w:fill="0A5C8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Value</w:t>
            </w:r>
          </w:p>
        </w:tc>
      </w:tr>
      <w:tr>
        <w:tc>
          <w:tcPr>
            <w:tcW w:type="dxa" w:w="32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Optimizer</w:t>
            </w:r>
          </w:p>
        </w:tc>
        <w:tc>
          <w:tcPr>
            <w:tcW w:type="dxa" w:w="62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Adam</w:t>
            </w:r>
          </w:p>
        </w:tc>
      </w:tr>
      <w:tr>
        <w:tc>
          <w:tcPr>
            <w:tcW w:type="dxa" w:w="32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Loss function</w:t>
            </w:r>
          </w:p>
        </w:tc>
        <w:tc>
          <w:tcPr>
            <w:tcW w:type="dxa" w:w="62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Categorical Crossentropy</w:t>
            </w:r>
          </w:p>
        </w:tc>
      </w:tr>
      <w:tr>
        <w:tc>
          <w:tcPr>
            <w:tcW w:type="dxa" w:w="32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Epochs</w:t>
            </w:r>
          </w:p>
        </w:tc>
        <w:tc>
          <w:tcPr>
            <w:tcW w:type="dxa" w:w="62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10</w:t>
            </w:r>
          </w:p>
        </w:tc>
      </w:tr>
      <w:tr>
        <w:tc>
          <w:tcPr>
            <w:tcW w:type="dxa" w:w="32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Batch size</w:t>
            </w:r>
          </w:p>
        </w:tc>
        <w:tc>
          <w:tcPr>
            <w:tcW w:type="dxa" w:w="62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32</w:t>
            </w:r>
          </w:p>
        </w:tc>
      </w:tr>
      <w:tr>
        <w:tc>
          <w:tcPr>
            <w:tcW w:type="dxa" w:w="32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Activation function</w:t>
            </w:r>
          </w:p>
        </w:tc>
        <w:tc>
          <w:tcPr>
            <w:tcW w:type="dxa" w:w="62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ReLU</w:t>
            </w:r>
          </w:p>
        </w:tc>
      </w:tr>
    </w:tbl>
    <w:p>
      <w:pPr>
        <w:pStyle w:val="Heading1"/>
        <w:spacing w:after="160" w:before="320"/>
      </w:pPr>
      <w:r>
        <w:rPr>
          <w:rFonts w:ascii="Cambria" w:cs="Cambria" w:eastAsia="Cambria" w:hAnsi="Cambria"/>
          <w:b/>
          <w:bCs/>
          <w:color w:val="0A5C8A"/>
          <w:sz w:val="30"/>
          <w:szCs w:val="30"/>
        </w:rPr>
        <w:t xml:space="preserve">7. Results</w:t>
      </w:r>
    </w:p>
    <w:p>
      <w:pPr>
        <w:spacing w:after="160" w:line="300"/>
      </w:pPr>
      <w:r>
        <w:rPr>
          <w:rFonts w:ascii="Calibri" w:cs="Calibri" w:eastAsia="Calibri" w:hAnsi="Calibri"/>
          <w:color w:val="153044"/>
          <w:sz w:val="22"/>
          <w:szCs w:val="22"/>
        </w:rPr>
        <w:t xml:space="preserve">The trained CNN achieved a validation accuracy of approximately 98%. The accuracy steadily increased and the loss steadily decreased across the 10 training epochs, indicating stable convergence without significant overfitting.</w:t>
      </w:r>
    </w:p>
    <w:p>
      <w:pPr>
        <w:spacing w:before="120"/>
        <w:jc w:val="center"/>
      </w:pPr>
      <w:r>
        <w:drawing>
          <wp:inline distT="0" distB="0" distL="0" distR="0">
            <wp:extent cx="493776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2743200"/>
                    </a:xfrm>
                    <a:prstGeom prst="rect">
                      <a:avLst/>
                    </a:prstGeom>
                  </pic:spPr>
                </pic:pic>
              </a:graphicData>
            </a:graphic>
          </wp:inline>
        </w:drawing>
      </w:r>
    </w:p>
    <w:p>
      <w:pPr>
        <w:spacing w:after="260" w:before="60"/>
        <w:jc w:val="center"/>
      </w:pPr>
      <w:r>
        <w:rPr>
          <w:rFonts w:ascii="Calibri" w:cs="Calibri" w:eastAsia="Calibri" w:hAnsi="Calibri"/>
          <w:i/>
          <w:iCs/>
          <w:color w:val="51707F"/>
          <w:sz w:val="18"/>
          <w:szCs w:val="18"/>
        </w:rPr>
        <w:t xml:space="preserve">Figure 3. Training accuracy and loss across 10 epochs.</w:t>
      </w:r>
    </w:p>
    <w:p>
      <w:pPr>
        <w:pStyle w:val="Heading2"/>
        <w:spacing w:after="100" w:before="220"/>
      </w:pPr>
      <w:r>
        <w:rPr>
          <w:rFonts w:ascii="Cambria" w:cs="Cambria" w:eastAsia="Cambria" w:hAnsi="Cambria"/>
          <w:b/>
          <w:bCs/>
          <w:color w:val="1478AC"/>
          <w:sz w:val="24"/>
          <w:szCs w:val="24"/>
        </w:rPr>
        <w:t xml:space="preserve">Confusion Matrix</w:t>
      </w:r>
    </w:p>
    <w:p>
      <w:pPr>
        <w:spacing w:after="160" w:line="300"/>
      </w:pPr>
      <w:r>
        <w:rPr>
          <w:rFonts w:ascii="Calibri" w:cs="Calibri" w:eastAsia="Calibri" w:hAnsi="Calibri"/>
          <w:color w:val="153044"/>
          <w:sz w:val="22"/>
          <w:szCs w:val="22"/>
        </w:rPr>
        <w:t xml:space="preserve">The confusion matrix below shows strong agreement between predicted and actual classes, with the large majority of predictions falling on the diagonal.</w:t>
      </w:r>
    </w:p>
    <w:p>
      <w:pPr>
        <w:spacing w:before="120"/>
        <w:jc w:val="center"/>
      </w:pPr>
      <w:r>
        <w:drawing>
          <wp:inline distT="0" distB="0" distL="0" distR="0">
            <wp:extent cx="384048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40480" cy="3383280"/>
                    </a:xfrm>
                    <a:prstGeom prst="rect">
                      <a:avLst/>
                    </a:prstGeom>
                  </pic:spPr>
                </pic:pic>
              </a:graphicData>
            </a:graphic>
          </wp:inline>
        </w:drawing>
      </w:r>
    </w:p>
    <w:p>
      <w:pPr>
        <w:spacing w:after="260" w:before="60"/>
        <w:jc w:val="center"/>
      </w:pPr>
      <w:r>
        <w:rPr>
          <w:rFonts w:ascii="Calibri" w:cs="Calibri" w:eastAsia="Calibri" w:hAnsi="Calibri"/>
          <w:i/>
          <w:iCs/>
          <w:color w:val="51707F"/>
          <w:sz w:val="18"/>
          <w:szCs w:val="18"/>
        </w:rPr>
        <w:t xml:space="preserve">Figure 4. Confusion matrix across the four classes.</w:t>
      </w:r>
    </w:p>
    <w:p>
      <w:pPr>
        <w:pStyle w:val="Heading2"/>
        <w:spacing w:after="100" w:before="220"/>
      </w:pPr>
      <w:r>
        <w:rPr>
          <w:rFonts w:ascii="Cambria" w:cs="Cambria" w:eastAsia="Cambria" w:hAnsi="Cambria"/>
          <w:b/>
          <w:bCs/>
          <w:color w:val="1478AC"/>
          <w:sz w:val="24"/>
          <w:szCs w:val="24"/>
        </w:rPr>
        <w:t xml:space="preserve">Classification Report</w:t>
      </w:r>
    </w:p>
    <w:tbl>
      <w:tblPr>
        <w:tblW w:type="dxa" w:w="9200"/>
        <w:tblBorders>
          <w:top w:val="single" w:color="D9E6EC" w:sz="4"/>
          <w:left w:val="single" w:color="D9E6EC" w:sz="4"/>
          <w:bottom w:val="single" w:color="D9E6EC" w:sz="4"/>
          <w:right w:val="single" w:color="D9E6EC" w:sz="4"/>
          <w:insideH w:val="single" w:color="D9E6EC" w:sz="4"/>
          <w:insideV w:val="single" w:color="D9E6EC" w:sz="4"/>
        </w:tblBorders>
      </w:tblPr>
      <w:tblGrid>
        <w:gridCol w:w="3200"/>
        <w:gridCol w:w="2000"/>
        <w:gridCol w:w="2000"/>
        <w:gridCol w:w="2000"/>
      </w:tblGrid>
      <w:tr>
        <w:trPr>
          <w:tblHeader/>
        </w:trPr>
        <w:tc>
          <w:tcPr>
            <w:tcW w:type="dxa" w:w="3200"/>
            <w:shd w:fill="0A5C8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Class</w:t>
            </w:r>
          </w:p>
        </w:tc>
        <w:tc>
          <w:tcPr>
            <w:tcW w:type="dxa" w:w="2000"/>
            <w:shd w:fill="0A5C8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Precision</w:t>
            </w:r>
          </w:p>
        </w:tc>
        <w:tc>
          <w:tcPr>
            <w:tcW w:type="dxa" w:w="2000"/>
            <w:shd w:fill="0A5C8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Recall</w:t>
            </w:r>
          </w:p>
        </w:tc>
        <w:tc>
          <w:tcPr>
            <w:tcW w:type="dxa" w:w="2000"/>
            <w:shd w:fill="0A5C8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F1-score</w:t>
            </w:r>
          </w:p>
        </w:tc>
      </w:tr>
      <w:tr>
        <w:tc>
          <w:tcPr>
            <w:tcW w:type="dxa" w:w="32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Normal</w:t>
            </w:r>
          </w:p>
        </w:tc>
        <w:tc>
          <w:tcPr>
            <w:tcW w:type="dxa" w:w="20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0.98</w:t>
            </w:r>
          </w:p>
        </w:tc>
        <w:tc>
          <w:tcPr>
            <w:tcW w:type="dxa" w:w="20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0.98</w:t>
            </w:r>
          </w:p>
        </w:tc>
        <w:tc>
          <w:tcPr>
            <w:tcW w:type="dxa" w:w="20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0.98</w:t>
            </w:r>
          </w:p>
        </w:tc>
      </w:tr>
      <w:tr>
        <w:tc>
          <w:tcPr>
            <w:tcW w:type="dxa" w:w="32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Cyst</w:t>
            </w:r>
          </w:p>
        </w:tc>
        <w:tc>
          <w:tcPr>
            <w:tcW w:type="dxa" w:w="20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0.97</w:t>
            </w:r>
          </w:p>
        </w:tc>
        <w:tc>
          <w:tcPr>
            <w:tcW w:type="dxa" w:w="20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0.97</w:t>
            </w:r>
          </w:p>
        </w:tc>
        <w:tc>
          <w:tcPr>
            <w:tcW w:type="dxa" w:w="20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0.97</w:t>
            </w:r>
          </w:p>
        </w:tc>
      </w:tr>
      <w:tr>
        <w:tc>
          <w:tcPr>
            <w:tcW w:type="dxa" w:w="32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Stone</w:t>
            </w:r>
          </w:p>
        </w:tc>
        <w:tc>
          <w:tcPr>
            <w:tcW w:type="dxa" w:w="20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0.95</w:t>
            </w:r>
          </w:p>
        </w:tc>
        <w:tc>
          <w:tcPr>
            <w:tcW w:type="dxa" w:w="20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0.95</w:t>
            </w:r>
          </w:p>
        </w:tc>
        <w:tc>
          <w:tcPr>
            <w:tcW w:type="dxa" w:w="20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0.95</w:t>
            </w:r>
          </w:p>
        </w:tc>
      </w:tr>
      <w:tr>
        <w:tc>
          <w:tcPr>
            <w:tcW w:type="dxa" w:w="32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Tumor</w:t>
            </w:r>
          </w:p>
        </w:tc>
        <w:tc>
          <w:tcPr>
            <w:tcW w:type="dxa" w:w="20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0.98</w:t>
            </w:r>
          </w:p>
        </w:tc>
        <w:tc>
          <w:tcPr>
            <w:tcW w:type="dxa" w:w="20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0.97</w:t>
            </w:r>
          </w:p>
        </w:tc>
        <w:tc>
          <w:tcPr>
            <w:tcW w:type="dxa" w:w="20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0.97</w:t>
            </w:r>
          </w:p>
        </w:tc>
      </w:tr>
      <w:tr>
        <w:tc>
          <w:tcPr>
            <w:tcW w:type="dxa" w:w="32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Overall Accuracy</w:t>
            </w:r>
          </w:p>
        </w:tc>
        <w:tc>
          <w:tcPr>
            <w:tcW w:type="dxa" w:w="20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
            </w:r>
          </w:p>
        </w:tc>
        <w:tc>
          <w:tcPr>
            <w:tcW w:type="dxa" w:w="20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0.98</w:t>
            </w:r>
          </w:p>
        </w:tc>
        <w:tc>
          <w:tcPr>
            <w:tcW w:type="dxa" w:w="20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
            </w:r>
          </w:p>
        </w:tc>
      </w:tr>
    </w:tbl>
    <w:p>
      <w:pPr>
        <w:pStyle w:val="Heading1"/>
        <w:spacing w:after="160" w:before="320"/>
      </w:pPr>
      <w:r>
        <w:rPr>
          <w:rFonts w:ascii="Cambria" w:cs="Cambria" w:eastAsia="Cambria" w:hAnsi="Cambria"/>
          <w:b/>
          <w:bCs/>
          <w:color w:val="0A5C8A"/>
          <w:sz w:val="30"/>
          <w:szCs w:val="30"/>
        </w:rPr>
        <w:t xml:space="preserve">8. Model Comparison</w:t>
      </w:r>
    </w:p>
    <w:p>
      <w:pPr>
        <w:spacing w:after="160" w:line="300"/>
      </w:pPr>
      <w:r>
        <w:rPr>
          <w:rFonts w:ascii="Calibri" w:cs="Calibri" w:eastAsia="Calibri" w:hAnsi="Calibri"/>
          <w:color w:val="153044"/>
          <w:sz w:val="22"/>
          <w:szCs w:val="22"/>
        </w:rPr>
        <w:t xml:space="preserve">To validate the architecture choice, the custom CNN was compared against a transfer-learning baseline, EfficientNetB0.</w:t>
      </w:r>
    </w:p>
    <w:p>
      <w:pPr>
        <w:spacing w:before="120"/>
        <w:jc w:val="center"/>
      </w:pPr>
      <w:r>
        <w:drawing>
          <wp:inline distT="0" distB="0" distL="0" distR="0">
            <wp:extent cx="457200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51760"/>
                    </a:xfrm>
                    <a:prstGeom prst="rect">
                      <a:avLst/>
                    </a:prstGeom>
                  </pic:spPr>
                </pic:pic>
              </a:graphicData>
            </a:graphic>
          </wp:inline>
        </w:drawing>
      </w:r>
    </w:p>
    <w:p>
      <w:pPr>
        <w:spacing w:after="260" w:before="60"/>
        <w:jc w:val="center"/>
      </w:pPr>
      <w:r>
        <w:rPr>
          <w:rFonts w:ascii="Calibri" w:cs="Calibri" w:eastAsia="Calibri" w:hAnsi="Calibri"/>
          <w:i/>
          <w:iCs/>
          <w:color w:val="51707F"/>
          <w:sz w:val="18"/>
          <w:szCs w:val="18"/>
        </w:rPr>
        <w:t xml:space="preserve">Figure 5. Validation accuracy: CNN vs. EfficientNetB0.</w:t>
      </w:r>
    </w:p>
    <w:tbl>
      <w:tblPr>
        <w:tblW w:type="dxa" w:w="9200"/>
        <w:tblBorders>
          <w:top w:val="single" w:color="D9E6EC" w:sz="4"/>
          <w:left w:val="single" w:color="D9E6EC" w:sz="4"/>
          <w:bottom w:val="single" w:color="D9E6EC" w:sz="4"/>
          <w:right w:val="single" w:color="D9E6EC" w:sz="4"/>
          <w:insideH w:val="single" w:color="D9E6EC" w:sz="4"/>
          <w:insideV w:val="single" w:color="D9E6EC" w:sz="4"/>
        </w:tblBorders>
      </w:tblPr>
      <w:tblGrid>
        <w:gridCol w:w="4600"/>
        <w:gridCol w:w="4600"/>
      </w:tblGrid>
      <w:tr>
        <w:trPr>
          <w:tblHeader/>
        </w:trPr>
        <w:tc>
          <w:tcPr>
            <w:tcW w:type="dxa" w:w="4600"/>
            <w:shd w:fill="0A5C8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Model</w:t>
            </w:r>
          </w:p>
        </w:tc>
        <w:tc>
          <w:tcPr>
            <w:tcW w:type="dxa" w:w="4600"/>
            <w:shd w:fill="0A5C8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Accuracy</w:t>
            </w:r>
          </w:p>
        </w:tc>
      </w:tr>
      <w:tr>
        <w:tc>
          <w:tcPr>
            <w:tcW w:type="dxa" w:w="46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CNN</w:t>
            </w:r>
          </w:p>
        </w:tc>
        <w:tc>
          <w:tcPr>
            <w:tcW w:type="dxa" w:w="46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98%</w:t>
            </w:r>
          </w:p>
        </w:tc>
      </w:tr>
      <w:tr>
        <w:tc>
          <w:tcPr>
            <w:tcW w:type="dxa" w:w="46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EfficientNetB0</w:t>
            </w:r>
          </w:p>
        </w:tc>
        <w:tc>
          <w:tcPr>
            <w:tcW w:type="dxa" w:w="4600"/>
            <w:shd w:fill="EAF3FA" w:val="clear"/>
            <w:tcMar>
              <w:top w:type="dxa" w:w="100"/>
              <w:left w:type="dxa" w:w="140"/>
              <w:bottom w:type="dxa" w:w="100"/>
              <w:right w:type="dxa" w:w="140"/>
            </w:tcMar>
            <w:vAlign w:val="center"/>
          </w:tcPr>
          <w:p>
            <w:pPr>
              <w:jc w:val="center"/>
            </w:pPr>
            <w:r>
              <w:rPr>
                <w:rFonts w:ascii="Calibri" w:cs="Calibri" w:eastAsia="Calibri" w:hAnsi="Calibri"/>
                <w:b w:val="false"/>
                <w:bCs w:val="false"/>
                <w:color w:val="153044"/>
                <w:sz w:val="20"/>
                <w:szCs w:val="20"/>
              </w:rPr>
              <w:t xml:space="preserve">44%</w:t>
            </w:r>
          </w:p>
        </w:tc>
      </w:tr>
    </w:tbl>
    <w:p>
      <w:pPr>
        <w:spacing w:after="160" w:line="300"/>
      </w:pPr>
      <w:r>
        <w:rPr>
          <w:rFonts w:ascii="Calibri" w:cs="Calibri" w:eastAsia="Calibri" w:hAnsi="Calibri"/>
          <w:color w:val="153044"/>
          <w:sz w:val="22"/>
          <w:szCs w:val="22"/>
        </w:rPr>
        <w:t xml:space="preserve">The custom CNN was selected as the final model because it achieved significantly better performance on this dataset. Its architecture was tuned specifically for the characteristics of CT kidney images, and it converged reliably within the available training budget. EfficientNetB0, in contrast, relies on pretrained weights that did not transfer well without additional fine-tuning, and it struggled to generalize under the same 10-epoch training budget.</w:t>
      </w:r>
    </w:p>
    <w:p>
      <w:pPr>
        <w:pStyle w:val="Heading1"/>
        <w:spacing w:after="160" w:before="320"/>
      </w:pPr>
      <w:r>
        <w:rPr>
          <w:rFonts w:ascii="Cambria" w:cs="Cambria" w:eastAsia="Cambria" w:hAnsi="Cambria"/>
          <w:b/>
          <w:bCs/>
          <w:color w:val="0A5C8A"/>
          <w:sz w:val="30"/>
          <w:szCs w:val="30"/>
        </w:rPr>
        <w:t xml:space="preserve">9. Challenges</w:t>
      </w:r>
    </w:p>
    <w:p>
      <w:pPr>
        <w:spacing w:after="160" w:line="300"/>
      </w:pPr>
      <w:r>
        <w:rPr>
          <w:rFonts w:ascii="Calibri" w:cs="Calibri" w:eastAsia="Calibri" w:hAnsi="Calibri"/>
          <w:color w:val="153044"/>
          <w:sz w:val="22"/>
          <w:szCs w:val="22"/>
        </w:rPr>
        <w:t xml:space="preserve">Several practical challenges were encountered during development:</w:t>
      </w:r>
    </w:p>
    <w:p>
      <w:pPr>
        <w:pStyle w:val="ListParagraph"/>
        <w:numPr>
          <w:ilvl w:val="0"/>
          <w:numId w:val="2"/>
        </w:numPr>
        <w:spacing w:after="90"/>
      </w:pPr>
      <w:r>
        <w:rPr>
          <w:rFonts w:ascii="Calibri" w:cs="Calibri" w:eastAsia="Calibri" w:hAnsi="Calibri"/>
          <w:color w:val="153044"/>
          <w:sz w:val="22"/>
          <w:szCs w:val="22"/>
        </w:rPr>
        <w:t xml:space="preserve">Dataset path issues — inconsistent directory structures required careful path handling.</w:t>
      </w:r>
    </w:p>
    <w:p>
      <w:pPr>
        <w:pStyle w:val="ListParagraph"/>
        <w:numPr>
          <w:ilvl w:val="0"/>
          <w:numId w:val="2"/>
        </w:numPr>
        <w:spacing w:after="90"/>
      </w:pPr>
      <w:r>
        <w:rPr>
          <w:rFonts w:ascii="Calibri" w:cs="Calibri" w:eastAsia="Calibri" w:hAnsi="Calibri"/>
          <w:color w:val="153044"/>
          <w:sz w:val="22"/>
          <w:szCs w:val="22"/>
        </w:rPr>
        <w:t xml:space="preserve">Image loading errors — some corrupted files caused loading failures during training.</w:t>
      </w:r>
    </w:p>
    <w:p>
      <w:pPr>
        <w:pStyle w:val="ListParagraph"/>
        <w:numPr>
          <w:ilvl w:val="0"/>
          <w:numId w:val="2"/>
        </w:numPr>
        <w:spacing w:after="90"/>
      </w:pPr>
      <w:r>
        <w:rPr>
          <w:rFonts w:ascii="Calibri" w:cs="Calibri" w:eastAsia="Calibri" w:hAnsi="Calibri"/>
          <w:color w:val="153044"/>
          <w:sz w:val="22"/>
          <w:szCs w:val="22"/>
        </w:rPr>
        <w:t xml:space="preserve">Kaggle session reset — notebook sessions occasionally reset, interrupting long training runs.</w:t>
      </w:r>
    </w:p>
    <w:p>
      <w:pPr>
        <w:pStyle w:val="ListParagraph"/>
        <w:numPr>
          <w:ilvl w:val="0"/>
          <w:numId w:val="2"/>
        </w:numPr>
        <w:spacing w:after="90"/>
      </w:pPr>
      <w:r>
        <w:rPr>
          <w:rFonts w:ascii="Calibri" w:cs="Calibri" w:eastAsia="Calibri" w:hAnsi="Calibri"/>
          <w:color w:val="153044"/>
          <w:sz w:val="22"/>
          <w:szCs w:val="22"/>
        </w:rPr>
        <w:t xml:space="preserve">EfficientNet weight loading — pretrained weights were difficult to load and fine-tune correctly.</w:t>
      </w:r>
    </w:p>
    <w:p>
      <w:pPr>
        <w:pStyle w:val="ListParagraph"/>
        <w:numPr>
          <w:ilvl w:val="0"/>
          <w:numId w:val="2"/>
        </w:numPr>
        <w:spacing w:after="90"/>
      </w:pPr>
      <w:r>
        <w:rPr>
          <w:rFonts w:ascii="Calibri" w:cs="Calibri" w:eastAsia="Calibri" w:hAnsi="Calibri"/>
          <w:color w:val="153044"/>
          <w:sz w:val="22"/>
          <w:szCs w:val="22"/>
        </w:rPr>
        <w:t xml:space="preserve">Model debugging — diagnosing shape mismatches and training instabilities took iteration.</w:t>
      </w:r>
    </w:p>
    <w:p>
      <w:pPr>
        <w:pStyle w:val="Heading1"/>
        <w:spacing w:after="160" w:before="320"/>
      </w:pPr>
      <w:r>
        <w:rPr>
          <w:rFonts w:ascii="Cambria" w:cs="Cambria" w:eastAsia="Cambria" w:hAnsi="Cambria"/>
          <w:b/>
          <w:bCs/>
          <w:color w:val="0A5C8A"/>
          <w:sz w:val="30"/>
          <w:szCs w:val="30"/>
        </w:rPr>
        <w:t xml:space="preserve">10. Conclusion</w:t>
      </w:r>
    </w:p>
    <w:p>
      <w:pPr>
        <w:pStyle w:val="ListParagraph"/>
        <w:numPr>
          <w:ilvl w:val="0"/>
          <w:numId w:val="2"/>
        </w:numPr>
        <w:spacing w:after="90"/>
      </w:pPr>
      <w:r>
        <w:rPr>
          <w:rFonts w:ascii="Calibri" w:cs="Calibri" w:eastAsia="Calibri" w:hAnsi="Calibri"/>
          <w:color w:val="153044"/>
          <w:sz w:val="22"/>
          <w:szCs w:val="22"/>
        </w:rPr>
        <w:t xml:space="preserve">The CNN successfully classified kidney CT images into the four target classes.</w:t>
      </w:r>
    </w:p>
    <w:p>
      <w:pPr>
        <w:pStyle w:val="ListParagraph"/>
        <w:numPr>
          <w:ilvl w:val="0"/>
          <w:numId w:val="2"/>
        </w:numPr>
        <w:spacing w:after="90"/>
      </w:pPr>
      <w:r>
        <w:rPr>
          <w:rFonts w:ascii="Calibri" w:cs="Calibri" w:eastAsia="Calibri" w:hAnsi="Calibri"/>
          <w:color w:val="153044"/>
          <w:sz w:val="22"/>
          <w:szCs w:val="22"/>
        </w:rPr>
        <w:t xml:space="preserve">A high validation accuracy of approximately 98% was achieved.</w:t>
      </w:r>
    </w:p>
    <w:p>
      <w:pPr>
        <w:pStyle w:val="ListParagraph"/>
        <w:numPr>
          <w:ilvl w:val="0"/>
          <w:numId w:val="2"/>
        </w:numPr>
        <w:spacing w:after="90"/>
      </w:pPr>
      <w:r>
        <w:rPr>
          <w:rFonts w:ascii="Calibri" w:cs="Calibri" w:eastAsia="Calibri" w:hAnsi="Calibri"/>
          <w:color w:val="153044"/>
          <w:sz w:val="22"/>
          <w:szCs w:val="22"/>
        </w:rPr>
        <w:t xml:space="preserve">These results demonstrate that deep learning, and CNNs in particular, can meaningfully support medical diagnosis by providing fast and reliable automated image classification.</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30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e6799c11e63fe377098a2fba85cfac7c52ca94.png"/><Relationship Id="rId8" Type="http://schemas.openxmlformats.org/officeDocument/2006/relationships/image" Target="media/7b8ab21c23a0d851313e9d5fb876a63555684851.png"/><Relationship Id="rId9" Type="http://schemas.openxmlformats.org/officeDocument/2006/relationships/image" Target="media/c9387b0710ba0d05b19f530f8a9dbcd40fea13f2.png"/><Relationship Id="rId10" Type="http://schemas.openxmlformats.org/officeDocument/2006/relationships/image" Target="media/3e27c2fd28261854d222879eedda31909db68736.png"/><Relationship Id="rId11" Type="http://schemas.openxmlformats.org/officeDocument/2006/relationships/image" Target="media/9947ec4f1a525de37499c88a1e6499c7f0b3087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2026-07-20T07:05:42.647Z</dcterms:created>
  <dcterms:modified xsi:type="dcterms:W3CDTF">2026-07-20T07:05:42.658Z</dcterms:modified>
</cp:coreProperties>
</file>

<file path=docProps/custom.xml><?xml version="1.0" encoding="utf-8"?>
<Properties xmlns="http://schemas.openxmlformats.org/officeDocument/2006/custom-properties" xmlns:vt="http://schemas.openxmlformats.org/officeDocument/2006/docPropsVTypes"/>
</file>