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2060" w14:textId="77777777" w:rsidR="00E517C4" w:rsidRPr="006D2F0E" w:rsidRDefault="00E517C4" w:rsidP="00E517C4">
      <w:r w:rsidRPr="006D2F0E">
        <w:rPr>
          <w:b/>
          <w:bCs/>
        </w:rPr>
        <w:t>Wienův článek:</w:t>
      </w:r>
      <w:r w:rsidRPr="006D2F0E">
        <w:rPr>
          <w:b/>
          <w:bCs/>
        </w:rPr>
        <w:br/>
      </w:r>
      <w:r w:rsidRPr="006D2F0E">
        <w:t>Obvod začal podle předpokladů a výpočtů kmitat při hodnotě rezistoru přibližně R = 20 kΩ, konkrétně při R₂ = 10019</w:t>
      </w:r>
      <w:r>
        <w:t>0</w:t>
      </w:r>
      <w:r w:rsidRPr="006D2F0E">
        <w:t xml:space="preserve"> Ω, na frekvenci f₀ = 791 Hz. Odchylky mezi vypočtenými a naměřenými hodnotami byly způsobeny především tolerancí použitých součástek.</w:t>
      </w:r>
    </w:p>
    <w:p w14:paraId="7CA4ED7F" w14:textId="77777777" w:rsidR="00E517C4" w:rsidRPr="006D2F0E" w:rsidRDefault="00E517C4" w:rsidP="00E517C4">
      <w:pPr>
        <w:rPr>
          <w:b/>
          <w:bCs/>
        </w:rPr>
      </w:pPr>
      <w:r w:rsidRPr="006D2F0E">
        <w:rPr>
          <w:b/>
          <w:bCs/>
        </w:rPr>
        <w:t>Horní propust:</w:t>
      </w:r>
      <w:r w:rsidRPr="006D2F0E">
        <w:rPr>
          <w:b/>
          <w:bCs/>
        </w:rPr>
        <w:br/>
      </w:r>
      <w:r w:rsidRPr="006D2F0E">
        <w:t>Mezi vypočtenými a naměřenými hodnotami se objevila poměrně výrazná nepřesnost, způsobená zatížením zpětnovazebního dvojbranu a odporem invertujícího zapojení operačního zesilovače.</w:t>
      </w:r>
    </w:p>
    <w:p w14:paraId="5E380D2F" w14:textId="77777777" w:rsidR="00E517C4" w:rsidRPr="006D2F0E" w:rsidRDefault="00E517C4" w:rsidP="00E517C4">
      <w:r w:rsidRPr="006D2F0E">
        <w:rPr>
          <w:b/>
          <w:bCs/>
        </w:rPr>
        <w:t>Dolní propust:</w:t>
      </w:r>
      <w:r w:rsidRPr="006D2F0E">
        <w:rPr>
          <w:b/>
          <w:bCs/>
        </w:rPr>
        <w:br/>
      </w:r>
      <w:r w:rsidRPr="006D2F0E">
        <w:t xml:space="preserve">Stejně jako u horní propusti, i zde byly mezi vypočtenými a naměřenými hodnotami patrné značné nepřesnosti. Ty byly opět způsobeny zatížením zpětnovazebního dvojbranu a odporem invertujícího zapojení operačního zesilovače. Nepřesnosti byly </w:t>
      </w:r>
      <w:r>
        <w:t>nej</w:t>
      </w:r>
      <w:r w:rsidRPr="006D2F0E">
        <w:t xml:space="preserve">výraznější </w:t>
      </w:r>
      <w:r>
        <w:t xml:space="preserve">ze všech </w:t>
      </w:r>
      <w:r w:rsidRPr="006D2F0E">
        <w:t>zapojení.</w:t>
      </w:r>
    </w:p>
    <w:p w14:paraId="275E9B38" w14:textId="77777777" w:rsidR="00E517C4" w:rsidRDefault="00E517C4" w:rsidP="00E517C4">
      <w:pPr>
        <w:rPr>
          <w:b/>
          <w:bCs/>
        </w:rPr>
      </w:pPr>
      <w:r w:rsidRPr="006D2F0E">
        <w:rPr>
          <w:b/>
          <w:bCs/>
        </w:rPr>
        <w:t>impedanční převodník:</w:t>
      </w:r>
    </w:p>
    <w:p w14:paraId="73757055" w14:textId="77777777" w:rsidR="00E517C4" w:rsidRPr="006D2F0E" w:rsidRDefault="00E517C4" w:rsidP="00E517C4">
      <w:r w:rsidRPr="006D2F0E">
        <w:t>Pokud bychom připojili impedanční převodník, mohli bychom očekávat omezení zatížení zpětnovazebního dvojbranu. To by vedlo ke snížení nepřesnosti naměřených hodnot, které by se tak více přiblížily teoretickým hodnotám.</w:t>
      </w:r>
    </w:p>
    <w:p w14:paraId="7F2101B4" w14:textId="77777777" w:rsidR="007461DE" w:rsidRDefault="007461DE"/>
    <w:p w14:paraId="48153108" w14:textId="77777777" w:rsidR="00E517C4" w:rsidRDefault="00E517C4" w:rsidP="00E517C4">
      <w:r w:rsidRPr="00222564">
        <w:rPr>
          <w:b/>
          <w:u w:val="single"/>
        </w:rPr>
        <w:t>Oscilátory se skládají ze dvou částí</w:t>
      </w:r>
      <w:r w:rsidRPr="00222564">
        <w:rPr>
          <w:b/>
        </w:rPr>
        <w:t>:</w:t>
      </w:r>
      <w:r>
        <w:rPr>
          <w:b/>
        </w:rPr>
        <w:t xml:space="preserve"> </w:t>
      </w:r>
      <w:r>
        <w:t xml:space="preserve">aktivního dvojbranu (zesilovače) a pasivního zpětnovazebního dvojbranu. Má-li takový zesilovač generovat na výstupu kmitavý signál bez vnějšího vstupního signálu, musí přenos zpětnovazebního dvojbranu způsobovat kladnou zpětnou vazbu. Toho dosáhneme splněním amplitudové a fázové podmínky vzniku oscilací. </w:t>
      </w:r>
    </w:p>
    <w:p w14:paraId="7006CA62" w14:textId="77777777" w:rsidR="00E517C4" w:rsidRDefault="00E517C4" w:rsidP="00E517C4"/>
    <w:p w14:paraId="4F8F0092" w14:textId="77777777" w:rsidR="00E517C4" w:rsidRDefault="00E517C4" w:rsidP="00E517C4">
      <w:r>
        <w:rPr>
          <w:noProof/>
        </w:rPr>
        <w:drawing>
          <wp:anchor distT="0" distB="0" distL="114300" distR="114300" simplePos="0" relativeHeight="251659264" behindDoc="1" locked="0" layoutInCell="1" allowOverlap="1" wp14:anchorId="7C533491" wp14:editId="1F1491B2">
            <wp:simplePos x="0" y="0"/>
            <wp:positionH relativeFrom="column">
              <wp:posOffset>5146040</wp:posOffset>
            </wp:positionH>
            <wp:positionV relativeFrom="paragraph">
              <wp:posOffset>10160</wp:posOffset>
            </wp:positionV>
            <wp:extent cx="1295400" cy="1798320"/>
            <wp:effectExtent l="0" t="0" r="0" b="0"/>
            <wp:wrapTight wrapText="bothSides">
              <wp:wrapPolygon edited="0">
                <wp:start x="0" y="0"/>
                <wp:lineTo x="0" y="21280"/>
                <wp:lineTo x="21282" y="21280"/>
                <wp:lineTo x="21282" y="0"/>
                <wp:lineTo x="0" y="0"/>
              </wp:wrapPolygon>
            </wp:wrapTight>
            <wp:docPr id="1279499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15BB54" w14:textId="77777777" w:rsidR="00E517C4" w:rsidRDefault="00E517C4" w:rsidP="00E517C4">
      <w:r>
        <w:t>Amplitudová podmínka: A(</w:t>
      </w:r>
      <w:r>
        <w:sym w:font="Symbol" w:char="F077"/>
      </w:r>
      <w:r>
        <w:t xml:space="preserve">) </w:t>
      </w:r>
      <w:r>
        <w:sym w:font="Symbol" w:char="F0B4"/>
      </w:r>
      <w:r>
        <w:t xml:space="preserve"> </w:t>
      </w:r>
      <w:r>
        <w:sym w:font="Symbol" w:char="F062"/>
      </w:r>
      <w:r>
        <w:t>(</w:t>
      </w:r>
      <w:r>
        <w:sym w:font="Symbol" w:char="F077"/>
      </w:r>
      <w:r>
        <w:t xml:space="preserve">) </w:t>
      </w:r>
      <w:r>
        <w:sym w:font="Symbol" w:char="F0B3"/>
      </w:r>
      <w:r>
        <w:t xml:space="preserve"> 1</w:t>
      </w:r>
    </w:p>
    <w:p w14:paraId="28C05AA3" w14:textId="77777777" w:rsidR="00E517C4" w:rsidRDefault="00E517C4" w:rsidP="00E517C4"/>
    <w:p w14:paraId="7661DFE0" w14:textId="77777777" w:rsidR="00E517C4" w:rsidRDefault="00E517C4" w:rsidP="00E517C4">
      <w:r>
        <w:t xml:space="preserve">Fázová podmínka: </w:t>
      </w:r>
      <w:r>
        <w:sym w:font="Symbol" w:char="F06A"/>
      </w:r>
      <w:r>
        <w:t>(</w:t>
      </w:r>
      <w:r>
        <w:sym w:font="Symbol" w:char="F077"/>
      </w:r>
      <w:r>
        <w:t xml:space="preserve">) + </w:t>
      </w:r>
      <w:r>
        <w:sym w:font="Symbol" w:char="F079"/>
      </w:r>
      <w:r>
        <w:t>(</w:t>
      </w:r>
      <w:r>
        <w:sym w:font="Symbol" w:char="F077"/>
      </w:r>
      <w:r>
        <w:t xml:space="preserve">) = 2 k </w:t>
      </w:r>
      <w:r>
        <w:sym w:font="Symbol" w:char="F070"/>
      </w:r>
      <w:r>
        <w:t>, kde k = 0; 1; 2; …</w:t>
      </w:r>
    </w:p>
    <w:p w14:paraId="23D68B37" w14:textId="77777777" w:rsidR="00E517C4" w:rsidRDefault="00E517C4" w:rsidP="00E517C4"/>
    <w:p w14:paraId="78A773C0" w14:textId="77777777" w:rsidR="00E517C4" w:rsidRDefault="00E517C4" w:rsidP="00E517C4"/>
    <w:p w14:paraId="4B10847C" w14:textId="77777777" w:rsidR="00E517C4" w:rsidRDefault="00E517C4" w:rsidP="00E517C4">
      <w:r>
        <w:t>A(</w:t>
      </w:r>
      <w:r>
        <w:sym w:font="Symbol" w:char="F077"/>
      </w:r>
      <w:r>
        <w:t>),</w:t>
      </w:r>
      <w:r>
        <w:sym w:font="Symbol" w:char="F06A"/>
      </w:r>
      <w:r>
        <w:t>(</w:t>
      </w:r>
      <w:r>
        <w:sym w:font="Symbol" w:char="F077"/>
      </w:r>
      <w:r>
        <w:t>) – amplitudový a fázový přenos zesilovače</w:t>
      </w:r>
    </w:p>
    <w:p w14:paraId="53B76D13" w14:textId="77777777" w:rsidR="00E517C4" w:rsidRDefault="00E517C4" w:rsidP="00E517C4"/>
    <w:p w14:paraId="3EE05E8C" w14:textId="77777777" w:rsidR="00E517C4" w:rsidRDefault="00E517C4" w:rsidP="00E517C4">
      <w:r>
        <w:sym w:font="Symbol" w:char="F062"/>
      </w:r>
      <w:r>
        <w:t>(</w:t>
      </w:r>
      <w:r>
        <w:sym w:font="Symbol" w:char="F077"/>
      </w:r>
      <w:r>
        <w:t xml:space="preserve">), </w:t>
      </w:r>
      <w:r>
        <w:sym w:font="Symbol" w:char="F079"/>
      </w:r>
      <w:r>
        <w:t>(</w:t>
      </w:r>
      <w:r>
        <w:sym w:font="Symbol" w:char="F077"/>
      </w:r>
      <w:r>
        <w:t>) – amplitudový a fázový přenos zpětnovazebního dvojbranu</w:t>
      </w:r>
    </w:p>
    <w:p w14:paraId="4098093C" w14:textId="77777777" w:rsidR="00E517C4" w:rsidRDefault="00E517C4" w:rsidP="00E517C4"/>
    <w:p w14:paraId="23A71D9D" w14:textId="77777777" w:rsidR="00E517C4" w:rsidRDefault="00E517C4" w:rsidP="00E517C4"/>
    <w:p w14:paraId="5D27C934" w14:textId="77777777" w:rsidR="00E517C4" w:rsidRDefault="00E517C4" w:rsidP="00E517C4">
      <w:r>
        <w:t>Splníme-li obě podmínky jen pro jedinou frekvenci, generuje oscilátor signál harmonického průběhu.</w:t>
      </w:r>
    </w:p>
    <w:p w14:paraId="5A5EC06E" w14:textId="77777777" w:rsidR="00E517C4" w:rsidRDefault="00E517C4" w:rsidP="00E517C4"/>
    <w:p w14:paraId="0009356D" w14:textId="77777777" w:rsidR="00E517C4" w:rsidRDefault="00E517C4" w:rsidP="00E517C4"/>
    <w:p w14:paraId="1097BBDB" w14:textId="77777777" w:rsidR="00E517C4" w:rsidRPr="00222564" w:rsidRDefault="00E517C4" w:rsidP="00E517C4">
      <w:pPr>
        <w:pStyle w:val="Heading6"/>
        <w:rPr>
          <w:u w:val="single"/>
        </w:rPr>
      </w:pPr>
      <w:r w:rsidRPr="00222564">
        <w:rPr>
          <w:u w:val="single"/>
        </w:rPr>
        <w:t>Základní typy zpětnovazebních dvojbranů:</w:t>
      </w:r>
    </w:p>
    <w:p w14:paraId="280E8DD0" w14:textId="77777777" w:rsidR="00E517C4" w:rsidRDefault="00E517C4" w:rsidP="00E517C4">
      <w:pPr>
        <w:pStyle w:val="Heading7"/>
      </w:pPr>
    </w:p>
    <w:p w14:paraId="51632274" w14:textId="77777777" w:rsidR="00E517C4" w:rsidRDefault="00E517C4" w:rsidP="00E517C4">
      <w:pPr>
        <w:pStyle w:val="Heading7"/>
      </w:pPr>
    </w:p>
    <w:p w14:paraId="632D9754" w14:textId="77777777" w:rsidR="00E517C4" w:rsidRDefault="00E517C4" w:rsidP="00E517C4">
      <w:pPr>
        <w:pStyle w:val="Heading7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BE833C1" wp14:editId="561656B1">
            <wp:simplePos x="0" y="0"/>
            <wp:positionH relativeFrom="column">
              <wp:posOffset>3683000</wp:posOffset>
            </wp:positionH>
            <wp:positionV relativeFrom="paragraph">
              <wp:posOffset>10160</wp:posOffset>
            </wp:positionV>
            <wp:extent cx="2590800" cy="1287780"/>
            <wp:effectExtent l="0" t="0" r="0" b="7620"/>
            <wp:wrapTight wrapText="bothSides">
              <wp:wrapPolygon edited="0">
                <wp:start x="0" y="0"/>
                <wp:lineTo x="0" y="21408"/>
                <wp:lineTo x="21441" y="21408"/>
                <wp:lineTo x="21441" y="0"/>
                <wp:lineTo x="0" y="0"/>
              </wp:wrapPolygon>
            </wp:wrapTight>
            <wp:docPr id="1248717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Wienův článek</w:t>
      </w:r>
    </w:p>
    <w:p w14:paraId="67134D87" w14:textId="77777777" w:rsidR="00E517C4" w:rsidRDefault="00E517C4" w:rsidP="00E517C4"/>
    <w:p w14:paraId="6A920FFA" w14:textId="77777777" w:rsidR="00E517C4" w:rsidRDefault="00E517C4" w:rsidP="00E517C4"/>
    <w:bookmarkStart w:id="0" w:name="_Hlk210852587"/>
    <w:p w14:paraId="007BE528" w14:textId="77777777" w:rsidR="00E517C4" w:rsidRDefault="00E517C4" w:rsidP="00E517C4">
      <w:r>
        <w:rPr>
          <w:position w:val="-24"/>
        </w:rPr>
        <w:object w:dxaOrig="1280" w:dyaOrig="620" w14:anchorId="177F51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85pt;height:30.85pt" o:ole="" fillcolor="window">
            <v:imagedata r:id="rId6" o:title=""/>
          </v:shape>
          <o:OLEObject Type="Embed" ProgID="Equation.3" ShapeID="_x0000_i1025" DrawAspect="Content" ObjectID="_1838358315" r:id="rId7"/>
        </w:object>
      </w:r>
      <w:bookmarkEnd w:id="0"/>
    </w:p>
    <w:p w14:paraId="2C12E242" w14:textId="77777777" w:rsidR="00E517C4" w:rsidRDefault="00E517C4" w:rsidP="00E517C4"/>
    <w:p w14:paraId="6B7ED6B1" w14:textId="77777777" w:rsidR="00E517C4" w:rsidRDefault="00E517C4" w:rsidP="00E517C4"/>
    <w:p w14:paraId="7BFF2C09" w14:textId="77777777" w:rsidR="00E517C4" w:rsidRDefault="00E517C4" w:rsidP="00E517C4"/>
    <w:p w14:paraId="074954E0" w14:textId="77777777" w:rsidR="00E517C4" w:rsidRDefault="00E517C4" w:rsidP="00E517C4"/>
    <w:p w14:paraId="2349D5BE" w14:textId="77777777" w:rsidR="00E517C4" w:rsidRDefault="00E517C4" w:rsidP="00E517C4">
      <w:pPr>
        <w:pStyle w:val="Heading7"/>
      </w:pPr>
      <w:r>
        <w:t>Kaskádní fázovací článek typu horní propust</w:t>
      </w:r>
    </w:p>
    <w:p w14:paraId="62998E9F" w14:textId="77777777" w:rsidR="00E517C4" w:rsidRDefault="00E517C4" w:rsidP="00E517C4"/>
    <w:p w14:paraId="3801573C" w14:textId="77777777" w:rsidR="00E517C4" w:rsidRDefault="00E517C4" w:rsidP="00E517C4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208AD80" wp14:editId="11F4E23E">
            <wp:simplePos x="0" y="0"/>
            <wp:positionH relativeFrom="column">
              <wp:posOffset>3606800</wp:posOffset>
            </wp:positionH>
            <wp:positionV relativeFrom="paragraph">
              <wp:posOffset>5715</wp:posOffset>
            </wp:positionV>
            <wp:extent cx="2781300" cy="1287780"/>
            <wp:effectExtent l="0" t="0" r="0" b="7620"/>
            <wp:wrapTight wrapText="bothSides">
              <wp:wrapPolygon edited="0">
                <wp:start x="0" y="0"/>
                <wp:lineTo x="0" y="21408"/>
                <wp:lineTo x="21452" y="21408"/>
                <wp:lineTo x="21452" y="0"/>
                <wp:lineTo x="0" y="0"/>
              </wp:wrapPolygon>
            </wp:wrapTight>
            <wp:docPr id="2959220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7C5ABC" w14:textId="77777777" w:rsidR="00E517C4" w:rsidRDefault="00E517C4" w:rsidP="00E517C4">
      <w:r>
        <w:rPr>
          <w:position w:val="-28"/>
        </w:rPr>
        <w:object w:dxaOrig="1620" w:dyaOrig="660" w14:anchorId="0A5705C6">
          <v:shape id="_x0000_i1026" type="#_x0000_t75" style="width:81.45pt;height:33.45pt" o:ole="" fillcolor="window">
            <v:imagedata r:id="rId9" o:title=""/>
          </v:shape>
          <o:OLEObject Type="Embed" ProgID="Equation.3" ShapeID="_x0000_i1026" DrawAspect="Content" ObjectID="_1838358316" r:id="rId10"/>
        </w:object>
      </w:r>
    </w:p>
    <w:p w14:paraId="0BB1B225" w14:textId="77777777" w:rsidR="00E517C4" w:rsidRDefault="00E517C4" w:rsidP="00E517C4"/>
    <w:p w14:paraId="3B0BF2BC" w14:textId="77777777" w:rsidR="00E517C4" w:rsidRDefault="00E517C4" w:rsidP="00E517C4"/>
    <w:p w14:paraId="546BE01A" w14:textId="77777777" w:rsidR="00E517C4" w:rsidRDefault="00E517C4" w:rsidP="00E517C4"/>
    <w:p w14:paraId="49811C10" w14:textId="77777777" w:rsidR="00E517C4" w:rsidRDefault="00E517C4" w:rsidP="00E517C4"/>
    <w:p w14:paraId="791E6AC0" w14:textId="77777777" w:rsidR="00E517C4" w:rsidRDefault="00E517C4" w:rsidP="00E517C4">
      <w:pPr>
        <w:pStyle w:val="Heading7"/>
      </w:pPr>
      <w:r>
        <w:t>Kaskádní fázovací článek typu dolní propust</w:t>
      </w:r>
    </w:p>
    <w:p w14:paraId="1EF238E5" w14:textId="77777777" w:rsidR="00E517C4" w:rsidRDefault="00E517C4" w:rsidP="00E517C4"/>
    <w:p w14:paraId="4D7D6775" w14:textId="77777777" w:rsidR="00E517C4" w:rsidRDefault="00E517C4" w:rsidP="00E517C4">
      <w:r>
        <w:rPr>
          <w:noProof/>
        </w:rPr>
        <w:drawing>
          <wp:anchor distT="0" distB="0" distL="114300" distR="114300" simplePos="0" relativeHeight="251663360" behindDoc="1" locked="0" layoutInCell="1" allowOverlap="1" wp14:anchorId="7A9816B9" wp14:editId="37ACABDF">
            <wp:simplePos x="0" y="0"/>
            <wp:positionH relativeFrom="column">
              <wp:posOffset>3614420</wp:posOffset>
            </wp:positionH>
            <wp:positionV relativeFrom="paragraph">
              <wp:posOffset>5715</wp:posOffset>
            </wp:positionV>
            <wp:extent cx="2773680" cy="1219200"/>
            <wp:effectExtent l="0" t="0" r="7620" b="0"/>
            <wp:wrapTight wrapText="bothSides">
              <wp:wrapPolygon edited="0">
                <wp:start x="0" y="0"/>
                <wp:lineTo x="0" y="21263"/>
                <wp:lineTo x="21511" y="21263"/>
                <wp:lineTo x="21511" y="0"/>
                <wp:lineTo x="0" y="0"/>
              </wp:wrapPolygon>
            </wp:wrapTight>
            <wp:docPr id="17797568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F6CB2B" w14:textId="77777777" w:rsidR="00E517C4" w:rsidRDefault="00E517C4" w:rsidP="00E517C4"/>
    <w:p w14:paraId="3CDD1E64" w14:textId="77777777" w:rsidR="00E517C4" w:rsidRDefault="00E517C4" w:rsidP="00E517C4">
      <w:r>
        <w:rPr>
          <w:position w:val="-24"/>
        </w:rPr>
        <w:object w:dxaOrig="1280" w:dyaOrig="680" w14:anchorId="478540AA">
          <v:shape id="_x0000_i1027" type="#_x0000_t75" style="width:63.85pt;height:33.85pt" o:ole="" fillcolor="window">
            <v:imagedata r:id="rId12" o:title=""/>
          </v:shape>
          <o:OLEObject Type="Embed" ProgID="Equation.3" ShapeID="_x0000_i1027" DrawAspect="Content" ObjectID="_1838358317" r:id="rId13"/>
        </w:object>
      </w:r>
    </w:p>
    <w:p w14:paraId="09E3C024" w14:textId="77777777" w:rsidR="00E517C4" w:rsidRDefault="00E517C4" w:rsidP="00E517C4"/>
    <w:p w14:paraId="014EE871" w14:textId="77777777" w:rsidR="00E517C4" w:rsidRDefault="00E517C4" w:rsidP="00E517C4"/>
    <w:p w14:paraId="4B37F5D7" w14:textId="77777777" w:rsidR="00E517C4" w:rsidRDefault="00E517C4" w:rsidP="00E517C4"/>
    <w:p w14:paraId="3CDF1B30" w14:textId="77777777" w:rsidR="00E517C4" w:rsidRDefault="00E517C4" w:rsidP="00E517C4">
      <w:pPr>
        <w:pStyle w:val="Heading6"/>
      </w:pPr>
    </w:p>
    <w:p w14:paraId="5622DCD3" w14:textId="77777777" w:rsidR="00E517C4" w:rsidRPr="00400DAE" w:rsidRDefault="00E517C4" w:rsidP="00E517C4">
      <w:pPr>
        <w:pStyle w:val="Heading6"/>
        <w:rPr>
          <w:u w:val="single"/>
        </w:rPr>
      </w:pPr>
      <w:r w:rsidRPr="00400DAE">
        <w:rPr>
          <w:u w:val="single"/>
        </w:rPr>
        <w:t>Základní typy zesilovačů (aktivních dvojbranů):</w:t>
      </w:r>
    </w:p>
    <w:p w14:paraId="127E6312" w14:textId="77777777" w:rsidR="00E517C4" w:rsidRDefault="00E517C4" w:rsidP="00E517C4">
      <w:pPr>
        <w:pStyle w:val="Heading7"/>
      </w:pPr>
    </w:p>
    <w:p w14:paraId="15AB69E8" w14:textId="77777777" w:rsidR="00E517C4" w:rsidRPr="00400DAE" w:rsidRDefault="00E517C4" w:rsidP="00E517C4"/>
    <w:p w14:paraId="6C0A9DE1" w14:textId="77777777" w:rsidR="00E517C4" w:rsidRDefault="00E517C4" w:rsidP="00E517C4">
      <w:pPr>
        <w:pStyle w:val="Heading7"/>
      </w:pPr>
      <w:r>
        <w:t>Operační zesilovač v neinvertujícím zapojení</w:t>
      </w:r>
    </w:p>
    <w:p w14:paraId="6E57AE35" w14:textId="77777777" w:rsidR="00E517C4" w:rsidRPr="00165E7C" w:rsidRDefault="00E517C4" w:rsidP="00E517C4"/>
    <w:p w14:paraId="34C30FA1" w14:textId="77777777" w:rsidR="00E517C4" w:rsidRDefault="00E517C4" w:rsidP="00E517C4">
      <w:r>
        <w:t>Používá se pro zapojení s Wienovým článkem.</w:t>
      </w:r>
    </w:p>
    <w:p w14:paraId="3A3B6E61" w14:textId="77777777" w:rsidR="00E517C4" w:rsidRDefault="00E517C4" w:rsidP="00E517C4">
      <w:r>
        <w:rPr>
          <w:noProof/>
        </w:rPr>
        <w:drawing>
          <wp:anchor distT="0" distB="0" distL="114300" distR="114300" simplePos="0" relativeHeight="251664384" behindDoc="1" locked="0" layoutInCell="1" allowOverlap="1" wp14:anchorId="764A5CCE" wp14:editId="1DD74007">
            <wp:simplePos x="0" y="0"/>
            <wp:positionH relativeFrom="column">
              <wp:posOffset>284480</wp:posOffset>
            </wp:positionH>
            <wp:positionV relativeFrom="paragraph">
              <wp:posOffset>193040</wp:posOffset>
            </wp:positionV>
            <wp:extent cx="1866900" cy="1866900"/>
            <wp:effectExtent l="0" t="0" r="0" b="0"/>
            <wp:wrapTight wrapText="bothSides">
              <wp:wrapPolygon edited="0">
                <wp:start x="0" y="0"/>
                <wp:lineTo x="0" y="21380"/>
                <wp:lineTo x="21380" y="21380"/>
                <wp:lineTo x="21380" y="0"/>
                <wp:lineTo x="0" y="0"/>
              </wp:wrapPolygon>
            </wp:wrapTight>
            <wp:docPr id="3141280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Přenos Wienova článku na frekvenci f</w:t>
      </w:r>
      <w:r>
        <w:rPr>
          <w:vertAlign w:val="subscript"/>
        </w:rPr>
        <w:t>0</w:t>
      </w:r>
      <w:r>
        <w:t xml:space="preserve"> je </w:t>
      </w:r>
      <w:r>
        <w:sym w:font="Symbol" w:char="F062"/>
      </w:r>
      <w:r>
        <w:t>(f</w:t>
      </w:r>
      <w:r>
        <w:rPr>
          <w:vertAlign w:val="subscript"/>
        </w:rPr>
        <w:t>0</w:t>
      </w:r>
      <w:r>
        <w:t xml:space="preserve">) = </w:t>
      </w:r>
      <w:r>
        <w:rPr>
          <w:position w:val="-24"/>
        </w:rPr>
        <w:object w:dxaOrig="220" w:dyaOrig="620" w14:anchorId="5E0E9B63">
          <v:shape id="_x0000_i1028" type="#_x0000_t75" style="width:11.15pt;height:30.85pt" o:ole="" fillcolor="window">
            <v:imagedata r:id="rId15" o:title=""/>
          </v:shape>
          <o:OLEObject Type="Embed" ProgID="Equation.3" ShapeID="_x0000_i1028" DrawAspect="Content" ObjectID="_1838358318" r:id="rId16"/>
        </w:object>
      </w:r>
      <w:r>
        <w:t>, proto zesílení zesilovače musí být A(f</w:t>
      </w:r>
      <w:r>
        <w:rPr>
          <w:vertAlign w:val="subscript"/>
        </w:rPr>
        <w:t>0</w:t>
      </w:r>
      <w:r>
        <w:t>) = 3. Zesílení operačního zesilovače v tomto zapojení je</w:t>
      </w:r>
      <w:bookmarkStart w:id="1" w:name="_Hlk210854449"/>
      <w:r>
        <w:rPr>
          <w:position w:val="-30"/>
        </w:rPr>
        <w:object w:dxaOrig="1280" w:dyaOrig="680" w14:anchorId="716C18CD">
          <v:shape id="_x0000_i1029" type="#_x0000_t75" style="width:63.85pt;height:33.85pt" o:ole="" fillcolor="window">
            <v:imagedata r:id="rId17" o:title=""/>
          </v:shape>
          <o:OLEObject Type="Embed" ProgID="Equation.3" ShapeID="_x0000_i1029" DrawAspect="Content" ObjectID="_1838358319" r:id="rId18"/>
        </w:object>
      </w:r>
      <w:bookmarkEnd w:id="1"/>
      <w:r>
        <w:t>.</w:t>
      </w:r>
    </w:p>
    <w:p w14:paraId="15063F61" w14:textId="77777777" w:rsidR="00E517C4" w:rsidRDefault="00E517C4" w:rsidP="00E517C4">
      <w:r>
        <w:t>Aby bylo rovno 3, musí být splněno R</w:t>
      </w:r>
      <w:r>
        <w:rPr>
          <w:vertAlign w:val="subscript"/>
        </w:rPr>
        <w:t>2</w:t>
      </w:r>
      <w:r>
        <w:t xml:space="preserve"> = 2 R</w:t>
      </w:r>
      <w:r>
        <w:rPr>
          <w:vertAlign w:val="subscript"/>
        </w:rPr>
        <w:t>1</w:t>
      </w:r>
      <w:r>
        <w:t xml:space="preserve">. </w:t>
      </w:r>
    </w:p>
    <w:p w14:paraId="2BBA324C" w14:textId="77777777" w:rsidR="00E517C4" w:rsidRDefault="00E517C4" w:rsidP="00E517C4"/>
    <w:p w14:paraId="21286115" w14:textId="77777777" w:rsidR="00E517C4" w:rsidRDefault="00E517C4" w:rsidP="00E517C4">
      <w:r>
        <w:t>Fázový posuv Wienova článku na frekvenci f</w:t>
      </w:r>
      <w:r>
        <w:rPr>
          <w:vertAlign w:val="subscript"/>
        </w:rPr>
        <w:t>0</w:t>
      </w:r>
      <w:r>
        <w:t xml:space="preserve"> je </w:t>
      </w:r>
      <w:r>
        <w:sym w:font="Symbol" w:char="F06A"/>
      </w:r>
      <w:r>
        <w:t>(f</w:t>
      </w:r>
      <w:r>
        <w:rPr>
          <w:vertAlign w:val="subscript"/>
        </w:rPr>
        <w:t>0</w:t>
      </w:r>
      <w:r>
        <w:t>) = 0°.</w:t>
      </w:r>
    </w:p>
    <w:p w14:paraId="25212372" w14:textId="77777777" w:rsidR="00E517C4" w:rsidRDefault="00E517C4" w:rsidP="00E517C4"/>
    <w:p w14:paraId="03598477" w14:textId="77777777" w:rsidR="00E517C4" w:rsidRDefault="00E517C4" w:rsidP="00E517C4">
      <w:r>
        <w:t>Pro spolehlivé rozkmitání volíme napěťové zesílení o málo větší než vypočítaná teoretická hodnota.</w:t>
      </w:r>
    </w:p>
    <w:p w14:paraId="1C3B779D" w14:textId="77777777" w:rsidR="00E517C4" w:rsidRDefault="00E517C4" w:rsidP="00E517C4"/>
    <w:p w14:paraId="30688639" w14:textId="77777777" w:rsidR="00E517C4" w:rsidRDefault="00E517C4" w:rsidP="00E517C4"/>
    <w:p w14:paraId="34F1F76C" w14:textId="77777777" w:rsidR="00E517C4" w:rsidRDefault="00E517C4" w:rsidP="00E517C4">
      <w:pPr>
        <w:pStyle w:val="Heading7"/>
      </w:pPr>
      <w:r>
        <w:t>Operační zesilovač v invertujícím zapojení</w:t>
      </w:r>
    </w:p>
    <w:p w14:paraId="41ADC559" w14:textId="77777777" w:rsidR="00E517C4" w:rsidRPr="00400DAE" w:rsidRDefault="00E517C4" w:rsidP="00E517C4"/>
    <w:p w14:paraId="4278BC60" w14:textId="77777777" w:rsidR="00E517C4" w:rsidRPr="00165E7C" w:rsidRDefault="00E517C4" w:rsidP="00E517C4"/>
    <w:p w14:paraId="2CDF8EEF" w14:textId="77777777" w:rsidR="00E517C4" w:rsidRDefault="00E517C4" w:rsidP="00E517C4">
      <w:r>
        <w:rPr>
          <w:noProof/>
        </w:rPr>
        <w:drawing>
          <wp:anchor distT="0" distB="0" distL="114300" distR="114300" simplePos="0" relativeHeight="251665408" behindDoc="1" locked="0" layoutInCell="1" allowOverlap="1" wp14:anchorId="65C00350" wp14:editId="124C0BCD">
            <wp:simplePos x="0" y="0"/>
            <wp:positionH relativeFrom="column">
              <wp:posOffset>55880</wp:posOffset>
            </wp:positionH>
            <wp:positionV relativeFrom="paragraph">
              <wp:posOffset>140970</wp:posOffset>
            </wp:positionV>
            <wp:extent cx="240792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361" y="21263"/>
                <wp:lineTo x="21361" y="0"/>
                <wp:lineTo x="0" y="0"/>
              </wp:wrapPolygon>
            </wp:wrapTight>
            <wp:docPr id="5600663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Používá se pro zapojení s kaskádními fázovacími články.</w:t>
      </w:r>
    </w:p>
    <w:p w14:paraId="177B3B6C" w14:textId="77777777" w:rsidR="00E517C4" w:rsidRDefault="00E517C4" w:rsidP="00E517C4">
      <w:r>
        <w:t>Jejich přenos na frekvenci f</w:t>
      </w:r>
      <w:r>
        <w:rPr>
          <w:vertAlign w:val="subscript"/>
        </w:rPr>
        <w:t>0</w:t>
      </w:r>
      <w:r>
        <w:t xml:space="preserve"> je </w:t>
      </w:r>
      <w:r>
        <w:sym w:font="Symbol" w:char="F062"/>
      </w:r>
      <w:r>
        <w:t>(f</w:t>
      </w:r>
      <w:r>
        <w:rPr>
          <w:vertAlign w:val="subscript"/>
        </w:rPr>
        <w:t>0</w:t>
      </w:r>
      <w:r>
        <w:t xml:space="preserve">) = </w:t>
      </w:r>
      <w:r>
        <w:rPr>
          <w:position w:val="-24"/>
        </w:rPr>
        <w:object w:dxaOrig="360" w:dyaOrig="620" w14:anchorId="5B0069A1">
          <v:shape id="_x0000_i1030" type="#_x0000_t75" style="width:18pt;height:30.85pt" o:ole="" fillcolor="window">
            <v:imagedata r:id="rId20" o:title=""/>
          </v:shape>
          <o:OLEObject Type="Embed" ProgID="Equation.3" ShapeID="_x0000_i1030" DrawAspect="Content" ObjectID="_1838358320" r:id="rId21"/>
        </w:object>
      </w:r>
      <w:r>
        <w:t>, proto zesílení zesilovače musí být A(f</w:t>
      </w:r>
      <w:r>
        <w:rPr>
          <w:vertAlign w:val="subscript"/>
        </w:rPr>
        <w:t>0</w:t>
      </w:r>
      <w:r>
        <w:t>) = 29. Zesílení operačního zesilovače v tomto zapojení je</w:t>
      </w:r>
      <w:r>
        <w:rPr>
          <w:position w:val="-30"/>
        </w:rPr>
        <w:object w:dxaOrig="1140" w:dyaOrig="680" w14:anchorId="39E13AC0">
          <v:shape id="_x0000_i1031" type="#_x0000_t75" style="width:57.45pt;height:33.85pt" o:ole="" fillcolor="window">
            <v:imagedata r:id="rId22" o:title=""/>
          </v:shape>
          <o:OLEObject Type="Embed" ProgID="Equation.3" ShapeID="_x0000_i1031" DrawAspect="Content" ObjectID="_1838358321" r:id="rId23"/>
        </w:object>
      </w:r>
      <w:r>
        <w:t>.</w:t>
      </w:r>
    </w:p>
    <w:p w14:paraId="6DA3547B" w14:textId="77777777" w:rsidR="00E517C4" w:rsidRDefault="00E517C4" w:rsidP="00E517C4">
      <w:r>
        <w:t>Aby bylo rovno 29, musí být splněno R</w:t>
      </w:r>
      <w:r>
        <w:rPr>
          <w:vertAlign w:val="subscript"/>
        </w:rPr>
        <w:t>2</w:t>
      </w:r>
      <w:r>
        <w:t xml:space="preserve"> = 29 R</w:t>
      </w:r>
      <w:r>
        <w:rPr>
          <w:vertAlign w:val="subscript"/>
        </w:rPr>
        <w:t>1</w:t>
      </w:r>
      <w:r>
        <w:t xml:space="preserve">. </w:t>
      </w:r>
    </w:p>
    <w:p w14:paraId="2DECE001" w14:textId="77777777" w:rsidR="00E517C4" w:rsidRDefault="00E517C4" w:rsidP="00E517C4"/>
    <w:p w14:paraId="735A60CD" w14:textId="77777777" w:rsidR="00E517C4" w:rsidRDefault="00E517C4" w:rsidP="00E517C4"/>
    <w:p w14:paraId="6D407B87" w14:textId="77777777" w:rsidR="00E517C4" w:rsidRDefault="00E517C4" w:rsidP="00E517C4">
      <w:r>
        <w:t>Fázový posuv kaskádních fázovacích článků na frekvenci f</w:t>
      </w:r>
      <w:r>
        <w:rPr>
          <w:vertAlign w:val="subscript"/>
        </w:rPr>
        <w:t>0</w:t>
      </w:r>
      <w:r>
        <w:t xml:space="preserve"> je </w:t>
      </w:r>
      <w:r>
        <w:sym w:font="Symbol" w:char="F06A"/>
      </w:r>
      <w:r>
        <w:t>(f</w:t>
      </w:r>
      <w:r>
        <w:rPr>
          <w:vertAlign w:val="subscript"/>
        </w:rPr>
        <w:t>0</w:t>
      </w:r>
      <w:r>
        <w:t>) = 180°.</w:t>
      </w:r>
    </w:p>
    <w:p w14:paraId="5DCFC8FA" w14:textId="77777777" w:rsidR="00E517C4" w:rsidRDefault="00E517C4" w:rsidP="00E517C4"/>
    <w:p w14:paraId="075DFE0F" w14:textId="77777777" w:rsidR="00E517C4" w:rsidRDefault="00E517C4" w:rsidP="00E517C4">
      <w:r>
        <w:t>Pro spolehlivé rozkmitání opět volíme napěťové zesílení o málo větší než vypočítaná teoretická hodnota.</w:t>
      </w:r>
    </w:p>
    <w:p w14:paraId="21976548" w14:textId="77777777" w:rsidR="00E517C4" w:rsidRDefault="00E517C4"/>
    <w:sectPr w:rsidR="00E517C4" w:rsidSect="00E517C4">
      <w:pgSz w:w="11906" w:h="16838" w:code="9"/>
      <w:pgMar w:top="680" w:right="680" w:bottom="765" w:left="680" w:header="708" w:footer="708" w:gutter="0"/>
      <w:pgBorders>
        <w:top w:val="single" w:sz="8" w:space="4" w:color="auto"/>
        <w:left w:val="single" w:sz="8" w:space="4" w:color="auto"/>
        <w:bottom w:val="single" w:sz="8" w:space="0" w:color="auto"/>
        <w:right w:val="single" w:sz="8" w:space="4" w:color="auto"/>
      </w:pgBorders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E0"/>
    <w:rsid w:val="004B56E0"/>
    <w:rsid w:val="00663A89"/>
    <w:rsid w:val="00692CF4"/>
    <w:rsid w:val="007461DE"/>
    <w:rsid w:val="00E5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20497"/>
  <w15:chartTrackingRefBased/>
  <w15:docId w15:val="{BF4A1493-7405-4250-963C-7E33CDF3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7C4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eastAsia="cs-C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6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6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6E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6E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6E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en-US"/>
      <w14:ligatures w14:val="standardContextual"/>
    </w:rPr>
  </w:style>
  <w:style w:type="paragraph" w:styleId="Heading6">
    <w:name w:val="heading 6"/>
    <w:aliases w:val="Nadpis 6 - tučné"/>
    <w:basedOn w:val="Normal"/>
    <w:next w:val="Normal"/>
    <w:link w:val="Heading6Char"/>
    <w:unhideWhenUsed/>
    <w:qFormat/>
    <w:rsid w:val="004B56E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nhideWhenUsed/>
    <w:qFormat/>
    <w:rsid w:val="004B56E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6E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6E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6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6E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6E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6E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5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6.bin"/><Relationship Id="rId7" Type="http://schemas.openxmlformats.org/officeDocument/2006/relationships/oleObject" Target="embeddings/oleObject1.bin"/><Relationship Id="rId12" Type="http://schemas.openxmlformats.org/officeDocument/2006/relationships/image" Target="media/image7.wmf"/><Relationship Id="rId17" Type="http://schemas.openxmlformats.org/officeDocument/2006/relationships/image" Target="media/image10.wm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2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9.wmf"/><Relationship Id="rId23" Type="http://schemas.openxmlformats.org/officeDocument/2006/relationships/oleObject" Target="embeddings/oleObject7.bin"/><Relationship Id="rId10" Type="http://schemas.openxmlformats.org/officeDocument/2006/relationships/oleObject" Target="embeddings/oleObject2.bin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image" Target="media/image5.wmf"/><Relationship Id="rId14" Type="http://schemas.openxmlformats.org/officeDocument/2006/relationships/image" Target="media/image8.png"/><Relationship Id="rId22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428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Štěpanek</dc:creator>
  <cp:keywords/>
  <dc:description/>
  <cp:lastModifiedBy>Jan Štěpanek</cp:lastModifiedBy>
  <cp:revision>2</cp:revision>
  <dcterms:created xsi:type="dcterms:W3CDTF">2026-04-22T08:15:00Z</dcterms:created>
  <dcterms:modified xsi:type="dcterms:W3CDTF">2026-04-22T08:19:00Z</dcterms:modified>
</cp:coreProperties>
</file>