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BSS052501, BSS1024_01/1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23.42%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0.79%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24.21% – 25.79%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– 16.50%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CJ062501/2, CJ062501/1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18.91%, 21.51%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22.01% – 25.99%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11.70% – 14.30%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12.32%, 13.35%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16.20% – 19.80%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14.40% – 17.60%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14.68%, 16.69%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18.86%, 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12.60% – 15.40%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13.34%, 15.35%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15.41% – 18.59%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15.95%, 16.70%, 17.94%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0.40%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18.60% – 19.40%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15.70%, 18.52%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GP072501/1, GP0824_02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19.81%, 21.29%, 21.36%, 22.61%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1.89%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23.11% – 26.89%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10.80% – 13.20%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17.10% – 20.90%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HPA1024, HPA052501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17.31%, 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20.91% – 23.09%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14.40% – 17.60%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17.10% – 20.90%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J31102501, J31112501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17.32%, 20.21%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20.91% – 23.09%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16.20% – 19.80%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– 11.00%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– 16.50%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16.51% – 19.49%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0.50%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– 20.50%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– 11.00%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11.70% – 14.30%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16.20% – 19.80%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2.19%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19.81% – 24.19%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– 11.00%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9.20%, 10.96%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0.99%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11.01% – 12.99%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поставена најшироко што правилата дозволуваат — до 10,00% од номиналата — но никогаш толку широко што би ја допрела соседната класа: затоа две класи од иста сорта може да носат различен ± процент, по дизајн. Класите никогаш не се преклопуваат. | The tolerance is set as wide as the rules allow — up to 10.00% of the nominal — but never so wide that it would touch the neighbouring tier: that is why two tiers of the same strain can carry a different ± percentage, by design.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0.79%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0.40%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0.50%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1.89%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1.89%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1.99%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1.89%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2.19%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