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80"/>
        <w:jc w:val="center"/>
      </w:pPr>
      <w:r>
        <w:rPr>
          <w:rFonts w:ascii="Calibri" w:hAnsi="Calibri"/>
          <w:b/>
          <w:i w:val="0"/>
          <w:color w:val="2B547E"/>
          <w:sz w:val="48"/>
        </w:rPr>
        <w:t>СТАНДАРДНА ОПЕРАТИВНА ПРОЦЕДУРА</w:t>
      </w:r>
    </w:p>
    <w:p>
      <w:pPr>
        <w:spacing w:before="120" w:after="80"/>
        <w:jc w:val="center"/>
      </w:pPr>
      <w:r>
        <w:rPr>
          <w:rFonts w:ascii="Calibri" w:hAnsi="Calibri"/>
          <w:b w:val="0"/>
          <w:i w:val="0"/>
          <w:color w:val="595959"/>
          <w:sz w:val="28"/>
        </w:rPr>
        <w:t>STANDARD OPERATING PROCEDURE</w:t>
      </w:r>
    </w:p>
    <w:p>
      <w:pPr>
        <w:spacing w:before="120" w:after="80"/>
        <w:jc w:val="center"/>
      </w:pPr>
      <w:r>
        <w:rPr>
          <w:rFonts w:ascii="Calibri" w:hAnsi="Calibri"/>
          <w:b/>
          <w:i w:val="0"/>
          <w:color w:val="2B547E"/>
          <w:sz w:val="36"/>
        </w:rPr>
        <w:t>QCSOP027 · DRAFT</w:t>
      </w:r>
    </w:p>
    <w:p>
      <w:pPr>
        <w:spacing w:before="80" w:after="160"/>
        <w:jc w:val="center"/>
      </w:pPr>
      <w:r>
        <w:rPr>
          <w:rFonts w:ascii="Calibri" w:hAnsi="Calibri"/>
          <w:b/>
          <w:i w:val="0"/>
          <w:color w:val="000000"/>
          <w:sz w:val="24"/>
        </w:rPr>
        <w:t>Транспорт на QC примероци до надворешни лаборатории</w:t>
      </w:r>
      <w:r>
        <w:rPr>
          <w:rFonts w:ascii="Calibri" w:hAnsi="Calibri"/>
          <w:b w:val="0"/>
          <w:i w:val="0"/>
          <w:color w:val="595959"/>
          <w:sz w:val="20"/>
        </w:rPr>
        <w:t xml:space="preserve"> | </w:t>
      </w:r>
      <w:r>
        <w:rPr>
          <w:rFonts w:ascii="Calibri" w:hAnsi="Calibri"/>
          <w:b/>
          <w:i w:val="0"/>
          <w:color w:val="595959"/>
          <w:sz w:val="24"/>
        </w:rPr>
        <w:t>Transport of QC Samples to Outsourced Laboratories</w:t>
      </w:r>
    </w:p>
    <w:tbl>
      <w:tblPr>
        <w:tblW w:type="auto" w:w="0"/>
        <w:jc w:val="center"/>
        <w:tblLayout w:type="fixed"/>
        <w:tblLook w:firstColumn="1" w:firstRow="1" w:lastColumn="0" w:lastRow="0" w:noHBand="0" w:noVBand="1" w:val="04A0"/>
        <w:tblLayout w:type="fixed"/>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0466"/>
      </w:tblGrid>
      <w:tr>
        <w:tc>
          <w:tcPr>
            <w:tcW w:type="dxa" w:w="10205"/>
            <w:shd w:val="clear" w:color="auto" w:fill="FDEDEC"/>
            <w:tcMar>
              <w:top w:w="46" w:type="dxa"/>
              <w:left w:w="86" w:type="dxa"/>
              <w:bottom w:w="46" w:type="dxa"/>
              <w:right w:w="86" w:type="dxa"/>
            </w:tcMar>
          </w:tcPr>
          <w:p>
            <w:pPr>
              <w:spacing w:before="20" w:after="20"/>
              <w:jc w:val="center"/>
            </w:pPr>
            <w:r>
              <w:rPr>
                <w:rFonts w:ascii="Calibri" w:hAnsi="Calibri"/>
                <w:b/>
                <w:i w:val="0"/>
                <w:color w:val="C00000"/>
                <w:sz w:val="24"/>
              </w:rPr>
              <w:t>РАБОТНА ВЕРЗИЈА — НЕ ЗА УПОТРЕБА | DRAFT — NOT FOR USE</w:t>
            </w:r>
          </w:p>
          <w:p>
            <w:pPr>
              <w:spacing w:before="20" w:after="20"/>
              <w:jc w:val="center"/>
            </w:pPr>
            <w:r>
              <w:rPr>
                <w:rFonts w:ascii="Calibri" w:hAnsi="Calibri"/>
                <w:b/>
                <w:i w:val="0"/>
                <w:color w:val="000000"/>
                <w:sz w:val="20"/>
              </w:rPr>
              <w:t>Верзија | Version: DRAFT</w:t>
            </w:r>
            <w:r>
              <w:rPr>
                <w:rFonts w:ascii="Calibri" w:hAnsi="Calibri"/>
                <w:b w:val="0"/>
                <w:i w:val="0"/>
                <w:color w:val="595959"/>
                <w:sz w:val="20"/>
              </w:rPr>
              <w:t xml:space="preserve">     </w:t>
            </w:r>
            <w:r>
              <w:rPr>
                <w:rFonts w:ascii="Calibri" w:hAnsi="Calibri"/>
                <w:b/>
                <w:i w:val="0"/>
                <w:color w:val="000000"/>
                <w:sz w:val="20"/>
              </w:rPr>
              <w:t>Датум на важност | Effective date: —</w:t>
            </w:r>
          </w:p>
        </w:tc>
      </w:tr>
    </w:tbl>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16"/>
        <w:gridCol w:w="2616"/>
        <w:gridCol w:w="2616"/>
        <w:gridCol w:w="2616"/>
      </w:tblGrid>
      <w:tr>
        <w:tc>
          <w:tcPr>
            <w:tcW w:type="dxa" w:w="2665"/>
            <w:shd w:val="clear" w:color="auto" w:fill="D9E2F3"/>
          </w:tcPr>
          <w:p>
            <w:r/>
            <w:r>
              <w:rPr>
                <w:rFonts w:ascii="Calibri" w:hAnsi="Calibri"/>
                <w:b/>
                <w:i w:val="0"/>
                <w:color w:val="000000"/>
                <w:sz w:val="22"/>
              </w:rPr>
              <w:t>Дејство</w:t>
            </w:r>
            <w:r>
              <w:rPr>
                <w:rFonts w:ascii="Calibri" w:hAnsi="Calibri"/>
                <w:b w:val="0"/>
                <w:i w:val="0"/>
                <w:color w:val="000000"/>
                <w:sz w:val="14"/>
              </w:rPr>
              <w:t xml:space="preserve"> | </w:t>
            </w:r>
            <w:r>
              <w:rPr>
                <w:rFonts w:ascii="Calibri" w:hAnsi="Calibri"/>
                <w:b/>
                <w:i w:val="0"/>
                <w:color w:val="000000"/>
                <w:sz w:val="14"/>
              </w:rPr>
              <w:t>Action</w:t>
            </w:r>
          </w:p>
        </w:tc>
        <w:tc>
          <w:tcPr>
            <w:tcW w:type="dxa" w:w="2665"/>
            <w:shd w:val="clear" w:color="auto" w:fill="D9E2F3"/>
          </w:tcPr>
          <w:p>
            <w:r/>
            <w:r>
              <w:rPr>
                <w:rFonts w:ascii="Calibri" w:hAnsi="Calibri"/>
                <w:b/>
                <w:i w:val="0"/>
                <w:color w:val="000000"/>
                <w:sz w:val="22"/>
              </w:rPr>
              <w:t>Позиција</w:t>
            </w:r>
            <w:r>
              <w:rPr>
                <w:rFonts w:ascii="Calibri" w:hAnsi="Calibri"/>
                <w:b w:val="0"/>
                <w:i w:val="0"/>
                <w:color w:val="000000"/>
                <w:sz w:val="14"/>
              </w:rPr>
              <w:t xml:space="preserve"> | </w:t>
            </w:r>
            <w:r>
              <w:rPr>
                <w:rFonts w:ascii="Calibri" w:hAnsi="Calibri"/>
                <w:b/>
                <w:i w:val="0"/>
                <w:color w:val="000000"/>
                <w:sz w:val="14"/>
              </w:rPr>
              <w:t>Position</w:t>
            </w:r>
          </w:p>
        </w:tc>
        <w:tc>
          <w:tcPr>
            <w:tcW w:type="dxa" w:w="2665"/>
            <w:shd w:val="clear" w:color="auto" w:fill="D9E2F3"/>
          </w:tcPr>
          <w:p>
            <w:r/>
            <w:r>
              <w:rPr>
                <w:rFonts w:ascii="Calibri" w:hAnsi="Calibri"/>
                <w:b/>
                <w:i w:val="0"/>
                <w:color w:val="000000"/>
                <w:sz w:val="22"/>
              </w:rPr>
              <w:t>Име</w:t>
            </w:r>
            <w:r>
              <w:rPr>
                <w:rFonts w:ascii="Calibri" w:hAnsi="Calibri"/>
                <w:b w:val="0"/>
                <w:i w:val="0"/>
                <w:color w:val="000000"/>
                <w:sz w:val="14"/>
              </w:rPr>
              <w:t xml:space="preserve"> | </w:t>
            </w:r>
            <w:r>
              <w:rPr>
                <w:rFonts w:ascii="Calibri" w:hAnsi="Calibri"/>
                <w:b/>
                <w:i w:val="0"/>
                <w:color w:val="000000"/>
                <w:sz w:val="14"/>
              </w:rPr>
              <w:t>Name</w:t>
            </w:r>
          </w:p>
        </w:tc>
        <w:tc>
          <w:tcPr>
            <w:tcW w:type="dxa" w:w="2665"/>
            <w:shd w:val="clear" w:color="auto" w:fill="D9E2F3"/>
          </w:tcPr>
          <w:p>
            <w:r/>
            <w:r>
              <w:rPr>
                <w:rFonts w:ascii="Calibri" w:hAnsi="Calibri"/>
                <w:b/>
                <w:i w:val="0"/>
                <w:color w:val="000000"/>
                <w:sz w:val="22"/>
              </w:rPr>
              <w:t>Датум/Потпис</w:t>
            </w:r>
            <w:r>
              <w:rPr>
                <w:rFonts w:ascii="Calibri" w:hAnsi="Calibri"/>
                <w:b w:val="0"/>
                <w:i w:val="0"/>
                <w:color w:val="000000"/>
                <w:sz w:val="14"/>
              </w:rPr>
              <w:t xml:space="preserve"> | </w:t>
            </w:r>
            <w:r>
              <w:rPr>
                <w:rFonts w:ascii="Calibri" w:hAnsi="Calibri"/>
                <w:b/>
                <w:i w:val="0"/>
                <w:color w:val="000000"/>
                <w:sz w:val="14"/>
              </w:rPr>
              <w:t>Date/Sign</w:t>
            </w:r>
          </w:p>
        </w:tc>
      </w:tr>
      <w:tr>
        <w:tc>
          <w:tcPr>
            <w:tcW w:type="dxa" w:w="2665"/>
          </w:tcPr>
          <w:p>
            <w:r/>
            <w:r>
              <w:rPr>
                <w:rFonts w:ascii="Calibri" w:hAnsi="Calibri"/>
                <w:b w:val="0"/>
                <w:i w:val="0"/>
                <w:color w:val="000000"/>
                <w:sz w:val="20"/>
              </w:rPr>
              <w:t>Подготвил | Prepared by</w:t>
            </w:r>
          </w:p>
        </w:tc>
        <w:tc>
          <w:tcPr>
            <w:tcW w:type="dxa" w:w="2665"/>
          </w:tcPr>
          <w:p/>
        </w:tc>
        <w:tc>
          <w:tcPr>
            <w:tcW w:type="dxa" w:w="2665"/>
          </w:tcPr>
          <w:p>
            <w:r>
              <w:rPr>
                <w:rFonts w:ascii="Calibri" w:hAnsi="Calibri"/>
                <w:b w:val="0"/>
                <w:i w:val="0"/>
                <w:color w:val="000000"/>
                <w:sz w:val="20"/>
              </w:rPr>
              <w:t>B. Nikolov, M.Pharm.</w:t>
            </w:r>
          </w:p>
        </w:tc>
        <w:tc>
          <w:tcPr>
            <w:tcW w:type="dxa" w:w="2665"/>
          </w:tcPr>
          <w:p>
            <w:r>
              <w:rPr>
                <w:rFonts w:ascii="Calibri" w:hAnsi="Calibri"/>
                <w:b w:val="0"/>
                <w:i/>
                <w:color w:val="595959"/>
                <w:sz w:val="18"/>
              </w:rPr>
              <w:t>Во тек | Pending</w:t>
            </w:r>
          </w:p>
        </w:tc>
      </w:tr>
      <w:tr>
        <w:tc>
          <w:tcPr>
            <w:tcW w:type="dxa" w:w="2665"/>
          </w:tcPr>
          <w:p>
            <w:r/>
            <w:r>
              <w:rPr>
                <w:rFonts w:ascii="Calibri" w:hAnsi="Calibri"/>
                <w:b w:val="0"/>
                <w:i w:val="0"/>
                <w:color w:val="000000"/>
                <w:sz w:val="20"/>
              </w:rPr>
              <w:t>Проверил | Reviewed by</w:t>
            </w:r>
          </w:p>
        </w:tc>
        <w:tc>
          <w:tcPr>
            <w:tcW w:type="dxa" w:w="2665"/>
          </w:tcPr>
          <w:p/>
        </w:tc>
        <w:tc>
          <w:tcPr>
            <w:tcW w:type="dxa" w:w="2665"/>
          </w:tcPr>
          <w:p>
            <w:r>
              <w:rPr>
                <w:rFonts w:ascii="Calibri" w:hAnsi="Calibri"/>
                <w:b w:val="0"/>
                <w:i w:val="0"/>
                <w:color w:val="000000"/>
                <w:sz w:val="20"/>
              </w:rPr>
              <w:t>J. Romevska</w:t>
            </w:r>
          </w:p>
        </w:tc>
        <w:tc>
          <w:tcPr>
            <w:tcW w:type="dxa" w:w="2665"/>
          </w:tcPr>
          <w:p>
            <w:r>
              <w:rPr>
                <w:rFonts w:ascii="Calibri" w:hAnsi="Calibri"/>
                <w:b w:val="0"/>
                <w:i/>
                <w:color w:val="595959"/>
                <w:sz w:val="18"/>
              </w:rPr>
              <w:t>Во тек | Pending</w:t>
            </w:r>
          </w:p>
        </w:tc>
      </w:tr>
      <w:tr>
        <w:tc>
          <w:tcPr>
            <w:tcW w:type="dxa" w:w="2665"/>
          </w:tcPr>
          <w:p>
            <w:r/>
            <w:r>
              <w:rPr>
                <w:rFonts w:ascii="Calibri" w:hAnsi="Calibri"/>
                <w:b w:val="0"/>
                <w:i w:val="0"/>
                <w:color w:val="000000"/>
                <w:sz w:val="20"/>
              </w:rPr>
              <w:t>Одобрил | Approved by</w:t>
            </w:r>
          </w:p>
        </w:tc>
        <w:tc>
          <w:tcPr>
            <w:tcW w:type="dxa" w:w="2665"/>
          </w:tcPr>
          <w:p/>
        </w:tc>
        <w:tc>
          <w:tcPr>
            <w:tcW w:type="dxa" w:w="2665"/>
          </w:tcPr>
          <w:p>
            <w:r>
              <w:rPr>
                <w:rFonts w:ascii="Calibri" w:hAnsi="Calibri"/>
                <w:b w:val="0"/>
                <w:i w:val="0"/>
                <w:color w:val="000000"/>
                <w:sz w:val="20"/>
              </w:rPr>
              <w:t>S. Petrova</w:t>
            </w:r>
          </w:p>
        </w:tc>
        <w:tc>
          <w:tcPr>
            <w:tcW w:type="dxa" w:w="2665"/>
          </w:tcPr>
          <w:p>
            <w:r>
              <w:rPr>
                <w:rFonts w:ascii="Calibri" w:hAnsi="Calibri"/>
                <w:b w:val="0"/>
                <w:i/>
                <w:color w:val="595959"/>
                <w:sz w:val="18"/>
              </w:rPr>
              <w:t>Во тек | Pending</w:t>
            </w:r>
          </w:p>
        </w:tc>
      </w:tr>
    </w:tbl>
    <w:p>
      <w:r>
        <w:br w:type="page"/>
      </w:r>
    </w:p>
    <w:p>
      <w:r>
        <w:rPr>
          <w:rFonts w:ascii="Calibri" w:hAnsi="Calibri"/>
          <w:b/>
          <w:i w:val="0"/>
          <w:color w:val="2B547E"/>
          <w:sz w:val="28"/>
        </w:rPr>
        <w:t>СОДРЖИНА | TABLE OF CONTENTS</w:t>
      </w:r>
    </w:p>
    <w:p>
      <w:fldSimple w:instr="TOC \o &quot;1-3&quot; \h \z \u"/>
    </w:p>
    <w:p>
      <w:r>
        <w:rPr>
          <w:rFonts w:ascii="Calibri" w:hAnsi="Calibri"/>
          <w:b w:val="0"/>
          <w:i/>
          <w:color w:val="595959"/>
          <w:sz w:val="16"/>
        </w:rPr>
        <w:t>(TOC updates automatically on open; or right-click → Update Field)</w:t>
      </w:r>
    </w:p>
    <w:p>
      <w:r>
        <w:br w:type="page"/>
      </w:r>
    </w:p>
    <w:tbl>
      <w:tblPr>
        <w:tblW w:type="auto" w:w="0"/>
        <w:jc w:val="center"/>
        <w:tblLayout w:type="fixed"/>
        <w:tblLook w:firstColumn="1" w:firstRow="1" w:lastColumn="0" w:lastRow="0" w:noHBand="0" w:noVBand="1" w:val="04A0"/>
        <w:tblLayout w:type="fixed"/>
      </w:tblPr>
      <w:tblGrid>
        <w:gridCol w:w="5233"/>
        <w:gridCol w:w="5233"/>
      </w:tblGrid>
      <w:tr>
        <w:tc>
          <w:tcPr>
            <w:tcW w:type="dxa" w:w="5102"/>
            <w:shd w:val="clear" w:color="auto" w:fill="E8E8E8"/>
            <w:tcBorders>
              <w:top w:val="nil"/>
              <w:left w:val="nil"/>
              <w:bottom w:val="nil"/>
              <w:right w:val="single" w:sz="4" w:color="000000"/>
            </w:tcBorders>
          </w:tcPr>
          <w:p>
            <w:pPr>
              <w:pStyle w:val="Heading1"/>
            </w:pPr>
            <w:r/>
            <w:r>
              <w:rPr>
                <w:rFonts w:ascii="Calibri" w:hAnsi="Calibri"/>
                <w:b/>
                <w:i w:val="0"/>
                <w:color w:val="000000"/>
                <w:sz w:val="24"/>
              </w:rPr>
              <w:t>1. ЦЕЛ</w:t>
            </w:r>
          </w:p>
        </w:tc>
        <w:tc>
          <w:tcPr>
            <w:tcW w:type="dxa" w:w="5102"/>
            <w:shd w:val="clear" w:color="auto" w:fill="E8E8E8"/>
            <w:tcBorders>
              <w:top w:val="nil"/>
              <w:left w:val="single" w:sz="4" w:color="000000"/>
              <w:bottom w:val="nil"/>
              <w:right w:val="nil"/>
            </w:tcBorders>
          </w:tcPr>
          <w:p>
            <w:r/>
            <w:r>
              <w:rPr>
                <w:rFonts w:ascii="Calibri" w:hAnsi="Calibri"/>
                <w:b/>
                <w:i w:val="0"/>
                <w:color w:val="595959"/>
                <w:sz w:val="24"/>
              </w:rPr>
              <w:t>1. PURPOSE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Целта на оваа постапка е да се дефинира контролиран процес за подигање, пакување, придружба, транспорт и доставување на QC примероци до договорни (надворешни) лаборатории, обезбедувајќи целосен интегритет на примерокот, непрекинат синџир на чување и усогласеност со EU GMP Annex 8 и Добра дистрибутивна практика.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purpose of this procedure is to define a controlled process for the collection, packaging, escort, transport and delivery of QC samples to contract (outsourced) laboratories, ensuring full sample integrity, an unbroken chain of custody and compliance with EU GMP Annex 8 and Good Distribution Practice.</w:t>
            </w:r>
          </w:p>
        </w:tc>
      </w:tr>
      <w:tr>
        <w:tc>
          <w:tcPr>
            <w:tcW w:type="dxa" w:w="5102"/>
            <w:shd w:val="clear" w:color="auto" w:fill="E8E8E8"/>
            <w:tcBorders>
              <w:top w:val="nil"/>
              <w:left w:val="nil"/>
              <w:bottom w:val="nil"/>
              <w:right w:val="single" w:sz="4" w:color="000000"/>
            </w:tcBorders>
          </w:tcPr>
          <w:p>
            <w:pPr>
              <w:pStyle w:val="Heading1"/>
            </w:pPr>
            <w:r/>
            <w:r>
              <w:rPr>
                <w:rFonts w:ascii="Calibri" w:hAnsi="Calibri"/>
                <w:b/>
                <w:i w:val="0"/>
                <w:color w:val="000000"/>
                <w:sz w:val="24"/>
              </w:rPr>
              <w:t>2. ПОДРАЧЈЕ НА ПРИМЕНА</w:t>
            </w:r>
          </w:p>
        </w:tc>
        <w:tc>
          <w:tcPr>
            <w:tcW w:type="dxa" w:w="5102"/>
            <w:shd w:val="clear" w:color="auto" w:fill="E8E8E8"/>
            <w:tcBorders>
              <w:top w:val="nil"/>
              <w:left w:val="single" w:sz="4" w:color="000000"/>
              <w:bottom w:val="nil"/>
              <w:right w:val="nil"/>
            </w:tcBorders>
          </w:tcPr>
          <w:p>
            <w:r/>
            <w:r>
              <w:rPr>
                <w:rFonts w:ascii="Calibri" w:hAnsi="Calibri"/>
                <w:b/>
                <w:i w:val="0"/>
                <w:color w:val="595959"/>
                <w:sz w:val="24"/>
              </w:rPr>
              <w:t>2. SCOPE</w:t>
            </w:r>
          </w:p>
        </w:tc>
      </w:tr>
      <w:tr>
        <w:tc>
          <w:tcPr>
            <w:tcW w:type="dxa" w:w="5102"/>
            <w:tcBorders>
              <w:top w:val="nil"/>
              <w:left w:val="nil"/>
              <w:bottom w:val="nil"/>
              <w:right w:val="single" w:sz="4" w:color="000000"/>
            </w:tcBorders>
          </w:tcPr>
          <w:p>
            <w:pPr>
              <w:pStyle w:val="Heading2"/>
            </w:pPr>
            <w:r/>
            <w:r>
              <w:rPr>
                <w:rFonts w:ascii="Calibri" w:hAnsi="Calibri"/>
                <w:b/>
                <w:i w:val="0"/>
                <w:color w:val="000000"/>
                <w:sz w:val="22"/>
              </w:rPr>
              <w:t>2.1 Применливост</w:t>
            </w:r>
          </w:p>
        </w:tc>
        <w:tc>
          <w:tcPr>
            <w:tcW w:type="dxa" w:w="5102"/>
            <w:tcBorders>
              <w:top w:val="nil"/>
              <w:left w:val="single" w:sz="4" w:color="000000"/>
              <w:bottom w:val="nil"/>
              <w:right w:val="nil"/>
            </w:tcBorders>
          </w:tcPr>
          <w:p>
            <w:r/>
            <w:r>
              <w:rPr>
                <w:rFonts w:ascii="Calibri" w:hAnsi="Calibri"/>
                <w:b/>
                <w:i w:val="0"/>
                <w:color w:val="595959"/>
                <w:sz w:val="22"/>
              </w:rPr>
              <w:t>2.1 Applicability</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Постапката се применува на сите QC примероци (цвет на канабис, процедурни прашоци, референтни стандарди и придружна документација) кои се испраќаат на анализа во надворешни договорни лаборатории.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This procedure applies to all QC samples (cannabis flower, processed powders, reference standards and accompanying documentation) dispatched for analysis to external contract laboratories.</w:t>
            </w:r>
          </w:p>
        </w:tc>
      </w:tr>
      <w:tr>
        <w:tc>
          <w:tcPr>
            <w:tcW w:type="dxa" w:w="5102"/>
            <w:tcBorders>
              <w:top w:val="nil"/>
              <w:left w:val="nil"/>
              <w:bottom w:val="nil"/>
              <w:right w:val="single" w:sz="4" w:color="000000"/>
            </w:tcBorders>
          </w:tcPr>
          <w:p>
            <w:pPr>
              <w:pStyle w:val="Heading2"/>
            </w:pPr>
            <w:r/>
            <w:r>
              <w:rPr>
                <w:rFonts w:ascii="Calibri" w:hAnsi="Calibri"/>
                <w:b/>
                <w:i w:val="0"/>
                <w:color w:val="000000"/>
                <w:sz w:val="22"/>
              </w:rPr>
              <w:t>2.2 Исклучоци</w:t>
            </w:r>
          </w:p>
        </w:tc>
        <w:tc>
          <w:tcPr>
            <w:tcW w:type="dxa" w:w="5102"/>
            <w:tcBorders>
              <w:top w:val="nil"/>
              <w:left w:val="single" w:sz="4" w:color="000000"/>
              <w:bottom w:val="nil"/>
              <w:right w:val="nil"/>
            </w:tcBorders>
          </w:tcPr>
          <w:p>
            <w:r/>
            <w:r>
              <w:rPr>
                <w:rFonts w:ascii="Calibri" w:hAnsi="Calibri"/>
                <w:b/>
                <w:i w:val="0"/>
                <w:color w:val="595959"/>
                <w:sz w:val="22"/>
              </w:rPr>
              <w:t>2.2 Exclusions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Не се применува на внатрешни анализи извршени во сопствената QC лабораторија, ниту на транспорт на готови производи за комерцијални цели.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It does not apply to analyses performed internally in the in-house QC laboratory, nor to transport of finished products for commercial purposes.</w:t>
            </w:r>
          </w:p>
        </w:tc>
      </w:tr>
      <w:tr>
        <w:tc>
          <w:tcPr>
            <w:tcW w:type="dxa" w:w="5102"/>
            <w:tcBorders>
              <w:top w:val="nil"/>
              <w:left w:val="nil"/>
              <w:bottom w:val="nil"/>
              <w:right w:val="single" w:sz="4" w:color="000000"/>
            </w:tcBorders>
          </w:tcPr>
          <w:p>
            <w:pPr>
              <w:pStyle w:val="Heading2"/>
            </w:pPr>
            <w:r/>
            <w:r>
              <w:rPr>
                <w:rFonts w:ascii="Calibri" w:hAnsi="Calibri"/>
                <w:b/>
                <w:i w:val="0"/>
                <w:color w:val="000000"/>
                <w:sz w:val="22"/>
              </w:rPr>
              <w:t>2.3 Идно проширување</w:t>
            </w:r>
          </w:p>
        </w:tc>
        <w:tc>
          <w:tcPr>
            <w:tcW w:type="dxa" w:w="5102"/>
            <w:tcBorders>
              <w:top w:val="nil"/>
              <w:left w:val="single" w:sz="4" w:color="000000"/>
              <w:bottom w:val="nil"/>
              <w:right w:val="nil"/>
            </w:tcBorders>
          </w:tcPr>
          <w:p>
            <w:r/>
            <w:r>
              <w:rPr>
                <w:rFonts w:ascii="Calibri" w:hAnsi="Calibri"/>
                <w:b/>
                <w:i w:val="0"/>
                <w:color w:val="595959"/>
                <w:sz w:val="22"/>
              </w:rPr>
              <w:t>2.3 Future Extension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По дополнителна валидација ќе се прошири на транспорт на стабилносни (stability) примероци и примероци за микробиолошка идентификација.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Upon further validation it will be extended to stability samples and microbiological identification samples.</w:t>
            </w:r>
          </w:p>
        </w:tc>
      </w:tr>
      <w:tr>
        <w:tc>
          <w:tcPr>
            <w:tcW w:type="dxa" w:w="5102"/>
            <w:shd w:val="clear" w:color="auto" w:fill="E8E8E8"/>
            <w:tcBorders>
              <w:top w:val="nil"/>
              <w:left w:val="nil"/>
              <w:bottom w:val="nil"/>
              <w:right w:val="single" w:sz="4" w:color="000000"/>
            </w:tcBorders>
          </w:tcPr>
          <w:p>
            <w:pPr>
              <w:pStyle w:val="Heading1"/>
            </w:pPr>
            <w:r/>
            <w:r>
              <w:rPr>
                <w:rFonts w:ascii="Calibri" w:hAnsi="Calibri"/>
                <w:b/>
                <w:i w:val="0"/>
                <w:color w:val="000000"/>
                <w:sz w:val="24"/>
              </w:rPr>
              <w:t>3. ОДГОВОРНОСТИ</w:t>
            </w:r>
          </w:p>
        </w:tc>
        <w:tc>
          <w:tcPr>
            <w:tcW w:type="dxa" w:w="5102"/>
            <w:shd w:val="clear" w:color="auto" w:fill="E8E8E8"/>
            <w:tcBorders>
              <w:top w:val="nil"/>
              <w:left w:val="single" w:sz="4" w:color="000000"/>
              <w:bottom w:val="nil"/>
              <w:right w:val="nil"/>
            </w:tcBorders>
          </w:tcPr>
          <w:p>
            <w:r/>
            <w:r>
              <w:rPr>
                <w:rFonts w:ascii="Calibri" w:hAnsi="Calibri"/>
                <w:b/>
                <w:i w:val="0"/>
                <w:color w:val="595959"/>
                <w:sz w:val="24"/>
              </w:rPr>
              <w:t>3. RESPONSIBILITIES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QC Менаџерот ја одобрува секоја пратка и ја издава Наредбата за надворешни QC активности; QC аналитичарот го врши подигањето, пакувањето и заверувањето на синџирот на чување; QA ги прегледува записите; QP ја потврдува конечната усогласеност.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QC Manager approves every consignment and issues the Order for Outsourced QC Activities; the QC Analyst performs collection, packaging and chain-of-custody completion; QA reviews the records; the QP confirms final compliance.</w:t>
            </w:r>
          </w:p>
        </w:tc>
      </w:tr>
      <w:tr>
        <w:tc>
          <w:tcPr>
            <w:tcW w:type="dxa" w:w="5102"/>
            <w:shd w:val="clear" w:color="auto" w:fill="E8E8E8"/>
            <w:tcBorders>
              <w:top w:val="nil"/>
              <w:left w:val="nil"/>
              <w:bottom w:val="nil"/>
              <w:right w:val="single" w:sz="4" w:color="000000"/>
            </w:tcBorders>
          </w:tcPr>
          <w:p>
            <w:pPr>
              <w:pStyle w:val="Heading1"/>
            </w:pPr>
            <w:r/>
            <w:r>
              <w:rPr>
                <w:rFonts w:ascii="Calibri" w:hAnsi="Calibri"/>
                <w:b/>
                <w:i w:val="0"/>
                <w:color w:val="000000"/>
                <w:sz w:val="24"/>
              </w:rPr>
              <w:t>4. РЕФЕРЕНТНИ ДОКУМЕНТИ</w:t>
            </w:r>
          </w:p>
        </w:tc>
        <w:tc>
          <w:tcPr>
            <w:tcW w:type="dxa" w:w="5102"/>
            <w:shd w:val="clear" w:color="auto" w:fill="E8E8E8"/>
            <w:tcBorders>
              <w:top w:val="nil"/>
              <w:left w:val="single" w:sz="4" w:color="000000"/>
              <w:bottom w:val="nil"/>
              <w:right w:val="nil"/>
            </w:tcBorders>
          </w:tcPr>
          <w:p>
            <w:r/>
            <w:r>
              <w:rPr>
                <w:rFonts w:ascii="Calibri" w:hAnsi="Calibri"/>
                <w:b/>
                <w:i w:val="0"/>
                <w:color w:val="595959"/>
                <w:sz w:val="24"/>
              </w:rPr>
              <w:t>4. REFERENCE DOCUMENTS</w:t>
            </w:r>
          </w:p>
        </w:tc>
      </w:tr>
      <w:tr>
        <w:tc>
          <w:tcPr>
            <w:tcW w:type="dxa" w:w="5102"/>
            <w:tcBorders>
              <w:top w:val="nil"/>
              <w:left w:val="nil"/>
              <w:bottom w:val="nil"/>
              <w:right w:val="single" w:sz="4" w:color="000000"/>
            </w:tcBorders>
          </w:tcPr>
          <w:p>
            <w:pPr>
              <w:pStyle w:val="Heading2"/>
            </w:pPr>
            <w:r/>
            <w:r>
              <w:rPr>
                <w:rFonts w:ascii="Calibri" w:hAnsi="Calibri"/>
                <w:b/>
                <w:i w:val="0"/>
                <w:color w:val="000000"/>
                <w:sz w:val="22"/>
              </w:rPr>
              <w:t>4.1 EU GMP</w:t>
            </w:r>
          </w:p>
        </w:tc>
        <w:tc>
          <w:tcPr>
            <w:tcW w:type="dxa" w:w="5102"/>
            <w:tcBorders>
              <w:top w:val="nil"/>
              <w:left w:val="single" w:sz="4" w:color="000000"/>
              <w:bottom w:val="nil"/>
              <w:right w:val="nil"/>
            </w:tcBorders>
          </w:tcPr>
          <w:p>
            <w:r/>
            <w:r>
              <w:rPr>
                <w:rFonts w:ascii="Calibri" w:hAnsi="Calibri"/>
                <w:b/>
                <w:i w:val="0"/>
                <w:color w:val="595959"/>
                <w:sz w:val="22"/>
              </w:rPr>
              <w:t>4.1 EU GMP</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EudraLex Volume 4, Part I, Глава 6 (Контрола на квалитет) и Глава 7 (Надворешни активности).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EudraLex Volume 4, Part I, Chapter 6 (Quality Control) and Chapter 7 (Outsourced Activities).</w:t>
            </w:r>
          </w:p>
        </w:tc>
      </w:tr>
      <w:tr>
        <w:tc>
          <w:tcPr>
            <w:tcW w:type="dxa" w:w="5102"/>
            <w:tcBorders>
              <w:top w:val="nil"/>
              <w:left w:val="nil"/>
              <w:bottom w:val="nil"/>
              <w:right w:val="single" w:sz="4" w:color="000000"/>
            </w:tcBorders>
          </w:tcPr>
          <w:p>
            <w:pPr>
              <w:pStyle w:val="Heading2"/>
            </w:pPr>
            <w:r/>
            <w:r>
              <w:rPr>
                <w:rFonts w:ascii="Calibri" w:hAnsi="Calibri"/>
                <w:b/>
                <w:i w:val="0"/>
                <w:color w:val="000000"/>
                <w:sz w:val="22"/>
              </w:rPr>
              <w:t>4.2 Анекси</w:t>
            </w:r>
          </w:p>
        </w:tc>
        <w:tc>
          <w:tcPr>
            <w:tcW w:type="dxa" w:w="5102"/>
            <w:tcBorders>
              <w:top w:val="nil"/>
              <w:left w:val="single" w:sz="4" w:color="000000"/>
              <w:bottom w:val="nil"/>
              <w:right w:val="nil"/>
            </w:tcBorders>
          </w:tcPr>
          <w:p>
            <w:r/>
            <w:r>
              <w:rPr>
                <w:rFonts w:ascii="Calibri" w:hAnsi="Calibri"/>
                <w:b/>
                <w:i w:val="0"/>
                <w:color w:val="595959"/>
                <w:sz w:val="22"/>
              </w:rPr>
              <w:t>4.2 Annexes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EU GMP Annex 8 (Земање примероци на почетни и пакувани материјали); Annex 15 (Квалификација и валидација); WHO TRS 957 Annex 5 (GACP).</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EU GMP Annex 8 (Sampling of Starting and Packaging Materials); Annex 15 (Qualification and Validation); WHO TRS 957 Annex 5 (GACP).</w:t>
            </w:r>
          </w:p>
        </w:tc>
      </w:tr>
      <w:tr>
        <w:tc>
          <w:tcPr>
            <w:tcW w:type="dxa" w:w="5102"/>
            <w:tcBorders>
              <w:top w:val="nil"/>
              <w:left w:val="nil"/>
              <w:bottom w:val="nil"/>
              <w:right w:val="single" w:sz="4" w:color="000000"/>
            </w:tcBorders>
          </w:tcPr>
          <w:p>
            <w:pPr>
              <w:pStyle w:val="Heading2"/>
            </w:pPr>
            <w:r/>
            <w:r>
              <w:rPr>
                <w:rFonts w:ascii="Calibri" w:hAnsi="Calibri"/>
                <w:b/>
                <w:i w:val="0"/>
                <w:color w:val="000000"/>
                <w:sz w:val="22"/>
              </w:rPr>
              <w:t>4.3 Фармакопеја</w:t>
            </w:r>
          </w:p>
        </w:tc>
        <w:tc>
          <w:tcPr>
            <w:tcW w:type="dxa" w:w="5102"/>
            <w:tcBorders>
              <w:top w:val="nil"/>
              <w:left w:val="single" w:sz="4" w:color="000000"/>
              <w:bottom w:val="nil"/>
              <w:right w:val="nil"/>
            </w:tcBorders>
          </w:tcPr>
          <w:p>
            <w:r/>
            <w:r>
              <w:rPr>
                <w:rFonts w:ascii="Calibri" w:hAnsi="Calibri"/>
                <w:b/>
                <w:i w:val="0"/>
                <w:color w:val="595959"/>
                <w:sz w:val="22"/>
              </w:rPr>
              <w:t>4.3 Pharmacopoeia</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Ph. Eur. Monograph 3028 Cannabis flos (07/2024); Ph. Eur. 2.8.13 (Резидуи на пестициди).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Ph. Eur. Monograph 3028 Cannabis flos (07/2024); Ph. Eur. 2.8.13 (Residues of Pesticides).</w:t>
            </w:r>
          </w:p>
        </w:tc>
      </w:tr>
      <w:tr>
        <w:tc>
          <w:tcPr>
            <w:tcW w:type="dxa" w:w="5102"/>
            <w:tcBorders>
              <w:top w:val="nil"/>
              <w:left w:val="nil"/>
              <w:bottom w:val="nil"/>
              <w:right w:val="single" w:sz="4" w:color="000000"/>
            </w:tcBorders>
          </w:tcPr>
          <w:p>
            <w:pPr>
              <w:pStyle w:val="Heading2"/>
            </w:pPr>
            <w:r/>
            <w:r>
              <w:rPr>
                <w:rFonts w:ascii="Calibri" w:hAnsi="Calibri"/>
                <w:b/>
                <w:i w:val="0"/>
                <w:color w:val="000000"/>
                <w:sz w:val="22"/>
              </w:rPr>
              <w:t>4.4 Национални и ISO</w:t>
            </w:r>
          </w:p>
        </w:tc>
        <w:tc>
          <w:tcPr>
            <w:tcW w:type="dxa" w:w="5102"/>
            <w:tcBorders>
              <w:top w:val="nil"/>
              <w:left w:val="single" w:sz="4" w:color="000000"/>
              <w:bottom w:val="nil"/>
              <w:right w:val="nil"/>
            </w:tcBorders>
          </w:tcPr>
          <w:p>
            <w:r/>
            <w:r>
              <w:rPr>
                <w:rFonts w:ascii="Calibri" w:hAnsi="Calibri"/>
                <w:b/>
                <w:i w:val="0"/>
                <w:color w:val="595959"/>
                <w:sz w:val="22"/>
              </w:rPr>
              <w:t>4.4 National and ISO</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MALMED барања за контролирани супстанци; ISO 17025:2017 за надворешни лаборатории.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MALMED requirements for controlled substances; ISO 17025:2017 for external laboratories.</w:t>
            </w:r>
          </w:p>
        </w:tc>
      </w:tr>
      <w:tr>
        <w:tc>
          <w:tcPr>
            <w:tcW w:type="dxa" w:w="5102"/>
            <w:shd w:val="clear" w:color="auto" w:fill="E8E8E8"/>
            <w:tcBorders>
              <w:top w:val="nil"/>
              <w:left w:val="nil"/>
              <w:bottom w:val="nil"/>
              <w:right w:val="single" w:sz="4" w:color="000000"/>
            </w:tcBorders>
          </w:tcPr>
          <w:p>
            <w:pPr>
              <w:pStyle w:val="Heading1"/>
            </w:pPr>
            <w:r/>
            <w:r>
              <w:rPr>
                <w:rFonts w:ascii="Calibri" w:hAnsi="Calibri"/>
                <w:b/>
                <w:i w:val="0"/>
                <w:color w:val="000000"/>
                <w:sz w:val="24"/>
              </w:rPr>
              <w:t>5. ДЕФИНИЦИИ</w:t>
            </w:r>
          </w:p>
        </w:tc>
        <w:tc>
          <w:tcPr>
            <w:tcW w:type="dxa" w:w="5102"/>
            <w:shd w:val="clear" w:color="auto" w:fill="E8E8E8"/>
            <w:tcBorders>
              <w:top w:val="nil"/>
              <w:left w:val="single" w:sz="4" w:color="000000"/>
              <w:bottom w:val="nil"/>
              <w:right w:val="nil"/>
            </w:tcBorders>
          </w:tcPr>
          <w:p>
            <w:r/>
            <w:r>
              <w:rPr>
                <w:rFonts w:ascii="Calibri" w:hAnsi="Calibri"/>
                <w:b/>
                <w:i w:val="0"/>
                <w:color w:val="595959"/>
                <w:sz w:val="24"/>
              </w:rPr>
              <w:t>5. DEFINITIONS</w:t>
            </w:r>
          </w:p>
        </w:tc>
      </w:tr>
      <w:tr>
        <w:tc>
          <w:tcPr>
            <w:tcW w:type="dxa" w:w="5102"/>
            <w:tcBorders>
              <w:top w:val="nil"/>
              <w:left w:val="nil"/>
              <w:bottom w:val="nil"/>
              <w:right w:val="single" w:sz="4" w:color="000000"/>
            </w:tcBorders>
          </w:tcPr>
          <w:p>
            <w:pPr>
              <w:pStyle w:val="Heading2"/>
            </w:pPr>
            <w:r/>
            <w:r>
              <w:rPr>
                <w:rFonts w:ascii="Calibri" w:hAnsi="Calibri"/>
                <w:b/>
                <w:i w:val="0"/>
                <w:color w:val="000000"/>
                <w:sz w:val="22"/>
              </w:rPr>
              <w:t>5.1 Дефиниции</w:t>
            </w:r>
          </w:p>
        </w:tc>
        <w:tc>
          <w:tcPr>
            <w:tcW w:type="dxa" w:w="5102"/>
            <w:tcBorders>
              <w:top w:val="nil"/>
              <w:left w:val="single" w:sz="4" w:color="000000"/>
              <w:bottom w:val="nil"/>
              <w:right w:val="nil"/>
            </w:tcBorders>
          </w:tcPr>
          <w:p>
            <w:r/>
            <w:r>
              <w:rPr>
                <w:rFonts w:ascii="Calibri" w:hAnsi="Calibri"/>
                <w:b/>
                <w:i w:val="0"/>
                <w:color w:val="595959"/>
                <w:sz w:val="22"/>
              </w:rPr>
              <w:t>5.1 Definitions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Синџир на чување е хронолошка, документарна трага што го евидентира секој пренос на физичкото или електронското поседување на примерокот. Договорна лабораторија е надворешна лабораторија квалификувана и одобрена согласно EU GMP Глава 7.</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Chain of custody is the chronological, documented trail recording each transfer of physical or electronic custody of a sample. Contract laboratory is an external laboratory qualified and approved per EU GMP Chapter 7.</w:t>
            </w:r>
          </w:p>
        </w:tc>
      </w:tr>
      <w:tr>
        <w:tc>
          <w:tcPr>
            <w:tcW w:type="dxa" w:w="5102"/>
            <w:tcBorders>
              <w:top w:val="nil"/>
              <w:left w:val="nil"/>
              <w:bottom w:val="nil"/>
              <w:right w:val="single" w:sz="4" w:color="000000"/>
            </w:tcBorders>
          </w:tcPr>
          <w:p>
            <w:pPr>
              <w:pStyle w:val="Heading2"/>
            </w:pPr>
            <w:r/>
            <w:r>
              <w:rPr>
                <w:rFonts w:ascii="Calibri" w:hAnsi="Calibri"/>
                <w:b/>
                <w:i w:val="0"/>
                <w:color w:val="000000"/>
                <w:sz w:val="22"/>
              </w:rPr>
              <w:t>5.2 Кратенки</w:t>
            </w:r>
          </w:p>
        </w:tc>
        <w:tc>
          <w:tcPr>
            <w:tcW w:type="dxa" w:w="5102"/>
            <w:tcBorders>
              <w:top w:val="nil"/>
              <w:left w:val="single" w:sz="4" w:color="000000"/>
              <w:bottom w:val="nil"/>
              <w:right w:val="nil"/>
            </w:tcBorders>
          </w:tcPr>
          <w:p>
            <w:r/>
            <w:r>
              <w:rPr>
                <w:rFonts w:ascii="Calibri" w:hAnsi="Calibri"/>
                <w:b/>
                <w:i w:val="0"/>
                <w:color w:val="595959"/>
                <w:sz w:val="22"/>
              </w:rPr>
              <w:t>5.2 Abbreviations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QC, QA, QP, GMP, CoA, SOP, MK, MY (Министерство за внатрешни работи), GC-MS, HPLC, LOD.</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QC, QA, QP, GMP, CoA, SOP, MK, MI (Ministry of Internal Affairs), GC-MS, HPLC, LOD.</w:t>
            </w:r>
          </w:p>
        </w:tc>
      </w:tr>
      <w:tr>
        <w:tc>
          <w:tcPr>
            <w:tcW w:type="dxa" w:w="5102"/>
            <w:shd w:val="clear" w:color="auto" w:fill="E8E8E8"/>
            <w:tcBorders>
              <w:top w:val="nil"/>
              <w:left w:val="nil"/>
              <w:bottom w:val="nil"/>
              <w:right w:val="single" w:sz="4" w:color="000000"/>
            </w:tcBorders>
          </w:tcPr>
          <w:p>
            <w:pPr>
              <w:pStyle w:val="Heading1"/>
            </w:pPr>
            <w:r/>
            <w:r>
              <w:rPr>
                <w:rFonts w:ascii="Calibri" w:hAnsi="Calibri"/>
                <w:b/>
                <w:i w:val="0"/>
                <w:color w:val="000000"/>
                <w:sz w:val="24"/>
              </w:rPr>
              <w:t>6. ПОСТАПКА</w:t>
            </w:r>
          </w:p>
        </w:tc>
        <w:tc>
          <w:tcPr>
            <w:tcW w:type="dxa" w:w="5102"/>
            <w:shd w:val="clear" w:color="auto" w:fill="E8E8E8"/>
            <w:tcBorders>
              <w:top w:val="nil"/>
              <w:left w:val="single" w:sz="4" w:color="000000"/>
              <w:bottom w:val="nil"/>
              <w:right w:val="nil"/>
            </w:tcBorders>
          </w:tcPr>
          <w:p>
            <w:r/>
            <w:r>
              <w:rPr>
                <w:rFonts w:ascii="Calibri" w:hAnsi="Calibri"/>
                <w:b/>
                <w:i w:val="0"/>
                <w:color w:val="595959"/>
                <w:sz w:val="24"/>
              </w:rPr>
              <w:t>6. PROCEDURE</w:t>
            </w:r>
          </w:p>
        </w:tc>
      </w:tr>
      <w:tr>
        <w:tc>
          <w:tcPr>
            <w:tcW w:type="dxa" w:w="5102"/>
            <w:tcBorders>
              <w:top w:val="nil"/>
              <w:left w:val="nil"/>
              <w:bottom w:val="nil"/>
              <w:right w:val="single" w:sz="4" w:color="000000"/>
            </w:tcBorders>
          </w:tcPr>
          <w:p>
            <w:pPr>
              <w:pStyle w:val="Heading2"/>
            </w:pPr>
            <w:r/>
            <w:r>
              <w:rPr>
                <w:rFonts w:ascii="Calibri" w:hAnsi="Calibri"/>
                <w:b/>
                <w:i w:val="0"/>
                <w:color w:val="000000"/>
                <w:sz w:val="22"/>
              </w:rPr>
              <w:t>6.1 Планирање на пратката</w:t>
            </w:r>
          </w:p>
        </w:tc>
        <w:tc>
          <w:tcPr>
            <w:tcW w:type="dxa" w:w="5102"/>
            <w:tcBorders>
              <w:top w:val="nil"/>
              <w:left w:val="single" w:sz="4" w:color="000000"/>
              <w:bottom w:val="nil"/>
              <w:right w:val="nil"/>
            </w:tcBorders>
          </w:tcPr>
          <w:p>
            <w:r/>
            <w:r>
              <w:rPr>
                <w:rFonts w:ascii="Calibri" w:hAnsi="Calibri"/>
                <w:b/>
                <w:i w:val="0"/>
                <w:color w:val="595959"/>
                <w:sz w:val="22"/>
              </w:rPr>
              <w:t>6.1 Consignment planning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QC Менаџерот ја планира пратката и ја пополнува Наредбата за надворешни QC активности (QCSOP027_A04) најмалку 48 часа пред транспортот.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QC Manager plans the consignment and completes the Order for Outsourced QC Activities (QCSOP027_A04) at least 48 hours before transport.</w:t>
            </w:r>
          </w:p>
        </w:tc>
      </w:tr>
      <w:tr>
        <w:tc>
          <w:tcPr>
            <w:tcW w:type="dxa" w:w="5102"/>
            <w:tcBorders>
              <w:top w:val="nil"/>
              <w:left w:val="nil"/>
              <w:bottom w:val="nil"/>
              <w:right w:val="single" w:sz="4" w:color="000000"/>
            </w:tcBorders>
          </w:tcPr>
          <w:p>
            <w:pPr>
              <w:pStyle w:val="Heading2"/>
            </w:pPr>
            <w:r/>
            <w:r>
              <w:rPr>
                <w:rFonts w:ascii="Calibri" w:hAnsi="Calibri"/>
                <w:b/>
                <w:i w:val="0"/>
                <w:color w:val="000000"/>
                <w:sz w:val="22"/>
              </w:rPr>
              <w:t>6.2 Подигање на примероци</w:t>
            </w:r>
          </w:p>
        </w:tc>
        <w:tc>
          <w:tcPr>
            <w:tcW w:type="dxa" w:w="5102"/>
            <w:tcBorders>
              <w:top w:val="nil"/>
              <w:left w:val="single" w:sz="4" w:color="000000"/>
              <w:bottom w:val="nil"/>
              <w:right w:val="nil"/>
            </w:tcBorders>
          </w:tcPr>
          <w:p>
            <w:r/>
            <w:r>
              <w:rPr>
                <w:rFonts w:ascii="Calibri" w:hAnsi="Calibri"/>
                <w:b/>
                <w:i w:val="0"/>
                <w:color w:val="595959"/>
                <w:sz w:val="22"/>
              </w:rPr>
              <w:t>6.2 Sample collection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QC аналитичарот ги подига примероците согласно QCSOP009, ги евидентира ID броевите, сериските броеви, масата и целта на секој примерок во Барањето за испраќање (QCSOP027_A01).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QC Analyst collects samples per QCSOP009, recording ID numbers, batch numbers, weight and purpose of each sample in the Sample Submission Request (QCSOP027_A01).</w:t>
            </w:r>
          </w:p>
        </w:tc>
      </w:tr>
      <w:tr>
        <w:tc>
          <w:tcPr>
            <w:tcW w:type="dxa" w:w="5102"/>
            <w:tcBorders>
              <w:top w:val="nil"/>
              <w:left w:val="nil"/>
              <w:bottom w:val="nil"/>
              <w:right w:val="single" w:sz="4" w:color="000000"/>
            </w:tcBorders>
          </w:tcPr>
          <w:p>
            <w:pPr>
              <w:pStyle w:val="Heading2"/>
            </w:pPr>
            <w:r/>
            <w:r>
              <w:rPr>
                <w:rFonts w:ascii="Calibri" w:hAnsi="Calibri"/>
                <w:b/>
                <w:i w:val="0"/>
                <w:color w:val="000000"/>
                <w:sz w:val="22"/>
              </w:rPr>
              <w:t>6.3 Пакување и запечатување</w:t>
            </w:r>
          </w:p>
        </w:tc>
        <w:tc>
          <w:tcPr>
            <w:tcW w:type="dxa" w:w="5102"/>
            <w:tcBorders>
              <w:top w:val="nil"/>
              <w:left w:val="single" w:sz="4" w:color="000000"/>
              <w:bottom w:val="nil"/>
              <w:right w:val="nil"/>
            </w:tcBorders>
          </w:tcPr>
          <w:p>
            <w:r/>
            <w:r>
              <w:rPr>
                <w:rFonts w:ascii="Calibri" w:hAnsi="Calibri"/>
                <w:b/>
                <w:i w:val="0"/>
                <w:color w:val="595959"/>
                <w:sz w:val="22"/>
              </w:rPr>
              <w:t>6.3 Packaging and sealing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Секој примерок се пакува во затворен, означен сад со очигледни печати; температурата при транспорт се документира (2-8 °C за термолабилни примероци).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Each sample is packed in a closed, labelled container with tamper-evident seals; transport temperature is documented (2-8 °C for thermolabile samples).</w:t>
            </w:r>
          </w:p>
        </w:tc>
      </w:tr>
      <w:tr>
        <w:tc>
          <w:tcPr>
            <w:tcW w:type="dxa" w:w="5102"/>
            <w:tcBorders>
              <w:top w:val="nil"/>
              <w:left w:val="nil"/>
              <w:bottom w:val="nil"/>
              <w:right w:val="single" w:sz="4" w:color="000000"/>
            </w:tcBorders>
          </w:tcPr>
          <w:p>
            <w:pPr>
              <w:pStyle w:val="Heading2"/>
            </w:pPr>
            <w:r/>
            <w:r>
              <w:rPr>
                <w:rFonts w:ascii="Calibri" w:hAnsi="Calibri"/>
                <w:b/>
                <w:i w:val="0"/>
                <w:color w:val="000000"/>
                <w:sz w:val="22"/>
              </w:rPr>
              <w:t>6.4 Придружба (escort)</w:t>
            </w:r>
          </w:p>
        </w:tc>
        <w:tc>
          <w:tcPr>
            <w:tcW w:type="dxa" w:w="5102"/>
            <w:tcBorders>
              <w:top w:val="nil"/>
              <w:left w:val="single" w:sz="4" w:color="000000"/>
              <w:bottom w:val="nil"/>
              <w:right w:val="nil"/>
            </w:tcBorders>
          </w:tcPr>
          <w:p>
            <w:r/>
            <w:r>
              <w:rPr>
                <w:rFonts w:ascii="Calibri" w:hAnsi="Calibri"/>
                <w:b/>
                <w:i w:val="0"/>
                <w:color w:val="595959"/>
                <w:sz w:val="22"/>
              </w:rPr>
              <w:t>6.4 Escort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За транспорт на контролирани супстанци се поднесува Барање за придружба до Министерството за внатрешни работи (QCSOP027_A03) со вкупниот износ и планираните институции за доставување.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For transport of controlled substances an Escort Request is submitted to the Ministry of Internal Affairs (QCSOP027_A03) stating the total amount and the planned delivery institutions.</w:t>
            </w:r>
          </w:p>
        </w:tc>
      </w:tr>
      <w:tr>
        <w:tc>
          <w:tcPr>
            <w:tcW w:type="dxa" w:w="5102"/>
            <w:tcBorders>
              <w:top w:val="nil"/>
              <w:left w:val="nil"/>
              <w:bottom w:val="nil"/>
              <w:right w:val="single" w:sz="4" w:color="000000"/>
            </w:tcBorders>
          </w:tcPr>
          <w:p>
            <w:pPr>
              <w:pStyle w:val="Heading2"/>
            </w:pPr>
            <w:r/>
            <w:r>
              <w:rPr>
                <w:rFonts w:ascii="Calibri" w:hAnsi="Calibri"/>
                <w:b/>
                <w:i w:val="0"/>
                <w:color w:val="000000"/>
                <w:sz w:val="22"/>
              </w:rPr>
              <w:t>6.5 Доставување и прием</w:t>
            </w:r>
          </w:p>
        </w:tc>
        <w:tc>
          <w:tcPr>
            <w:tcW w:type="dxa" w:w="5102"/>
            <w:tcBorders>
              <w:top w:val="nil"/>
              <w:left w:val="single" w:sz="4" w:color="000000"/>
              <w:bottom w:val="nil"/>
              <w:right w:val="nil"/>
            </w:tcBorders>
          </w:tcPr>
          <w:p>
            <w:r/>
            <w:r>
              <w:rPr>
                <w:rFonts w:ascii="Calibri" w:hAnsi="Calibri"/>
                <w:b/>
                <w:i w:val="0"/>
                <w:color w:val="595959"/>
                <w:sz w:val="22"/>
              </w:rPr>
              <w:t>6.5 Delivery and receipt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При прием, лабораторијата го потврдува интегритетот на печатите и го потпишува Синџирот на чување (QCSOP027_A02); копија се враќа и се архивира.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Upon receipt the laboratory confirms seal integrity and signs the Chain of Custody (QCSOP027_A02); a copy is returned and archived.</w:t>
            </w:r>
          </w:p>
        </w:tc>
      </w:tr>
      <w:tr>
        <w:tc>
          <w:tcPr>
            <w:tcW w:type="dxa" w:w="5102"/>
            <w:tcBorders>
              <w:top w:val="nil"/>
              <w:left w:val="nil"/>
              <w:bottom w:val="nil"/>
              <w:right w:val="single" w:sz="4" w:color="000000"/>
            </w:tcBorders>
          </w:tcPr>
          <w:p>
            <w:pPr>
              <w:pStyle w:val="Heading2"/>
            </w:pPr>
            <w:r/>
            <w:r>
              <w:rPr>
                <w:rFonts w:ascii="Calibri" w:hAnsi="Calibri"/>
                <w:b/>
                <w:i w:val="0"/>
                <w:color w:val="000000"/>
                <w:sz w:val="22"/>
              </w:rPr>
              <w:t>6.6 Финансиска конструкција</w:t>
            </w:r>
          </w:p>
        </w:tc>
        <w:tc>
          <w:tcPr>
            <w:tcW w:type="dxa" w:w="5102"/>
            <w:tcBorders>
              <w:top w:val="nil"/>
              <w:left w:val="single" w:sz="4" w:color="000000"/>
              <w:bottom w:val="nil"/>
              <w:right w:val="nil"/>
            </w:tcBorders>
          </w:tcPr>
          <w:p>
            <w:r/>
            <w:r>
              <w:rPr>
                <w:rFonts w:ascii="Calibri" w:hAnsi="Calibri"/>
                <w:b/>
                <w:i w:val="0"/>
                <w:color w:val="595959"/>
                <w:sz w:val="22"/>
              </w:rPr>
              <w:t>6.6 Financial construction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QC Менаџерот ја изготвува Финансиската конструкција (QCSOP027_A05) со вкупните трошоци за транспорт и анализа пред испраќањето.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QC Manager prepares the Financial Calculation (QCSOP027_A05) with total transport and analysis costs before dispatch.</w:t>
            </w:r>
          </w:p>
        </w:tc>
      </w:tr>
      <w:tr>
        <w:tc>
          <w:tcPr>
            <w:tcW w:type="dxa" w:w="5102"/>
            <w:tcBorders>
              <w:top w:val="nil"/>
              <w:left w:val="nil"/>
              <w:bottom w:val="nil"/>
              <w:right w:val="single" w:sz="4" w:color="000000"/>
            </w:tcBorders>
          </w:tcPr>
          <w:p>
            <w:pPr>
              <w:pStyle w:val="Heading2"/>
            </w:pPr>
            <w:r/>
            <w:r>
              <w:rPr>
                <w:rFonts w:ascii="Calibri" w:hAnsi="Calibri"/>
                <w:b/>
                <w:i w:val="0"/>
                <w:color w:val="000000"/>
                <w:sz w:val="22"/>
              </w:rPr>
              <w:t>6.7 Обука и отстапувања</w:t>
            </w:r>
          </w:p>
        </w:tc>
        <w:tc>
          <w:tcPr>
            <w:tcW w:type="dxa" w:w="5102"/>
            <w:tcBorders>
              <w:top w:val="nil"/>
              <w:left w:val="single" w:sz="4" w:color="000000"/>
              <w:bottom w:val="nil"/>
              <w:right w:val="nil"/>
            </w:tcBorders>
          </w:tcPr>
          <w:p>
            <w:r/>
            <w:r>
              <w:rPr>
                <w:rFonts w:ascii="Calibri" w:hAnsi="Calibri"/>
                <w:b/>
                <w:i w:val="0"/>
                <w:color w:val="595959"/>
                <w:sz w:val="22"/>
              </w:rPr>
              <w:t>6.7 Training and deviations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Сите учесници се обучуваат пред самостојна работа; секое отстапување се документира и истражува согласно проседирањето за отстапувања.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All participants are trained before independent work; every deviation is documented and investigated per the deviation procedure.</w:t>
            </w:r>
          </w:p>
        </w:tc>
      </w:tr>
      <w:tr>
        <w:tc>
          <w:tcPr>
            <w:tcW w:type="dxa" w:w="5102"/>
            <w:shd w:val="clear" w:color="auto" w:fill="E8E8E8"/>
            <w:tcBorders>
              <w:top w:val="nil"/>
              <w:left w:val="nil"/>
              <w:bottom w:val="nil"/>
              <w:right w:val="single" w:sz="4" w:color="000000"/>
            </w:tcBorders>
          </w:tcPr>
          <w:p>
            <w:pPr>
              <w:pStyle w:val="Heading1"/>
            </w:pPr>
            <w:r/>
            <w:r>
              <w:rPr>
                <w:rFonts w:ascii="Calibri" w:hAnsi="Calibri"/>
                <w:b/>
                <w:i w:val="0"/>
                <w:color w:val="000000"/>
                <w:sz w:val="24"/>
              </w:rPr>
              <w:t>7. ЗАПИСИ</w:t>
            </w:r>
          </w:p>
        </w:tc>
        <w:tc>
          <w:tcPr>
            <w:tcW w:type="dxa" w:w="5102"/>
            <w:shd w:val="clear" w:color="auto" w:fill="E8E8E8"/>
            <w:tcBorders>
              <w:top w:val="nil"/>
              <w:left w:val="single" w:sz="4" w:color="000000"/>
              <w:bottom w:val="nil"/>
              <w:right w:val="nil"/>
            </w:tcBorders>
          </w:tcPr>
          <w:p>
            <w:r/>
            <w:r>
              <w:rPr>
                <w:rFonts w:ascii="Calibri" w:hAnsi="Calibri"/>
                <w:b/>
                <w:i w:val="0"/>
                <w:color w:val="595959"/>
                <w:sz w:val="24"/>
              </w:rPr>
              <w:t>7. RECORDS</w:t>
            </w:r>
          </w:p>
        </w:tc>
      </w:tr>
    </w:tbl>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7160"/>
        <w:tblInd w:type="dxa" w:w="0"/>
        <w:jc w:val="center"/>
      </w:tblPr>
      <w:tblGrid>
        <w:gridCol w:w="3631"/>
        <w:gridCol w:w="1635"/>
        <w:gridCol w:w="1894"/>
      </w:tblGrid>
      <w:tr>
        <w:trPr>
          <w:tblHeader w:val="true"/>
        </w:trPr>
        <w:tc>
          <w:tcPr>
            <w:shd w:val="clear" w:color="auto" w:fill="D9E2F3"/>
            <w:tcW w:type="dxa" w:w="3631"/>
          </w:tcPr>
          <w:p>
            <w:r/>
            <w:r>
              <w:rPr>
                <w:rFonts w:ascii="Calibri" w:hAnsi="Calibri"/>
                <w:b/>
                <w:i w:val="0"/>
                <w:color w:val="000000"/>
                <w:sz w:val="22"/>
              </w:rPr>
              <w:t>Запис</w:t>
            </w:r>
            <w:r>
              <w:rPr>
                <w:rFonts w:ascii="Calibri" w:hAnsi="Calibri"/>
                <w:b w:val="0"/>
                <w:i w:val="0"/>
                <w:color w:val="000000"/>
                <w:sz w:val="14"/>
              </w:rPr>
              <w:t xml:space="preserve"> | </w:t>
            </w:r>
            <w:r>
              <w:rPr>
                <w:rFonts w:ascii="Calibri" w:hAnsi="Calibri"/>
                <w:b/>
                <w:i w:val="0"/>
                <w:color w:val="000000"/>
                <w:sz w:val="14"/>
              </w:rPr>
              <w:t>Record</w:t>
            </w:r>
          </w:p>
        </w:tc>
        <w:tc>
          <w:tcPr>
            <w:shd w:val="clear" w:color="auto" w:fill="D9E2F3"/>
            <w:tcW w:type="dxa" w:w="1635"/>
          </w:tcPr>
          <w:p>
            <w:r/>
            <w:r>
              <w:rPr>
                <w:rFonts w:ascii="Calibri" w:hAnsi="Calibri"/>
                <w:b/>
                <w:i w:val="0"/>
                <w:color w:val="000000"/>
                <w:sz w:val="22"/>
              </w:rPr>
              <w:t>Код</w:t>
            </w:r>
            <w:r>
              <w:rPr>
                <w:rFonts w:ascii="Calibri" w:hAnsi="Calibri"/>
                <w:b w:val="0"/>
                <w:i w:val="0"/>
                <w:color w:val="000000"/>
                <w:sz w:val="14"/>
              </w:rPr>
              <w:t xml:space="preserve"> | </w:t>
            </w:r>
            <w:r>
              <w:rPr>
                <w:rFonts w:ascii="Calibri" w:hAnsi="Calibri"/>
                <w:b/>
                <w:i w:val="0"/>
                <w:color w:val="000000"/>
                <w:sz w:val="14"/>
              </w:rPr>
              <w:t>Code</w:t>
            </w:r>
          </w:p>
        </w:tc>
        <w:tc>
          <w:tcPr>
            <w:shd w:val="clear" w:color="auto" w:fill="D9E2F3"/>
            <w:tcW w:type="dxa" w:w="1894"/>
          </w:tcPr>
          <w:p>
            <w:r/>
            <w:r>
              <w:rPr>
                <w:rFonts w:ascii="Calibri" w:hAnsi="Calibri"/>
                <w:b/>
                <w:i w:val="0"/>
                <w:color w:val="000000"/>
                <w:sz w:val="22"/>
              </w:rPr>
              <w:t>Чување</w:t>
            </w:r>
            <w:r>
              <w:rPr>
                <w:rFonts w:ascii="Calibri" w:hAnsi="Calibri"/>
                <w:b w:val="0"/>
                <w:i w:val="0"/>
                <w:color w:val="000000"/>
                <w:sz w:val="14"/>
              </w:rPr>
              <w:t xml:space="preserve"> | </w:t>
            </w:r>
            <w:r>
              <w:rPr>
                <w:rFonts w:ascii="Calibri" w:hAnsi="Calibri"/>
                <w:b/>
                <w:i w:val="0"/>
                <w:color w:val="000000"/>
                <w:sz w:val="14"/>
              </w:rPr>
              <w:t>Retention</w:t>
            </w:r>
          </w:p>
        </w:tc>
      </w:tr>
      <w:tr>
        <w:tc>
          <w:tcPr>
            <w:tcW w:type="dxa" w:w="3631"/>
          </w:tcPr>
          <w:p>
            <w:r/>
            <w:r>
              <w:rPr>
                <w:rFonts w:ascii="Calibri" w:hAnsi="Calibri"/>
                <w:b w:val="0"/>
                <w:i w:val="0"/>
                <w:color w:val="000000"/>
                <w:sz w:val="22"/>
              </w:rPr>
              <w:t>Барање за испраќање примероци</w:t>
            </w:r>
            <w:r>
              <w:rPr>
                <w:rFonts w:ascii="Calibri" w:hAnsi="Calibri"/>
                <w:b w:val="0"/>
                <w:i w:val="0"/>
                <w:color w:val="000000"/>
                <w:sz w:val="14"/>
              </w:rPr>
              <w:t xml:space="preserve"> | </w:t>
            </w:r>
            <w:r>
              <w:rPr>
                <w:rFonts w:ascii="Calibri" w:hAnsi="Calibri"/>
                <w:b w:val="0"/>
                <w:i w:val="0"/>
                <w:color w:val="000000"/>
                <w:sz w:val="14"/>
              </w:rPr>
              <w:t>Sample Submission Request</w:t>
            </w:r>
          </w:p>
        </w:tc>
        <w:tc>
          <w:tcPr>
            <w:tcW w:type="dxa" w:w="1635"/>
          </w:tcPr>
          <w:p>
            <w:r/>
            <w:r>
              <w:rPr>
                <w:rFonts w:ascii="Calibri" w:hAnsi="Calibri"/>
                <w:b w:val="0"/>
                <w:i w:val="0"/>
                <w:color w:val="000000"/>
                <w:sz w:val="22"/>
              </w:rPr>
              <w:t>QCSOP027_A01</w:t>
            </w:r>
            <w:r>
              <w:rPr>
                <w:rFonts w:ascii="Calibri" w:hAnsi="Calibri"/>
                <w:b w:val="0"/>
                <w:i w:val="0"/>
                <w:color w:val="000000"/>
                <w:sz w:val="14"/>
              </w:rPr>
              <w:t xml:space="preserve"> | </w:t>
            </w:r>
            <w:r>
              <w:rPr>
                <w:rFonts w:ascii="Calibri" w:hAnsi="Calibri"/>
                <w:b w:val="0"/>
                <w:i w:val="0"/>
                <w:color w:val="000000"/>
                <w:sz w:val="14"/>
              </w:rPr>
            </w:r>
          </w:p>
        </w:tc>
        <w:tc>
          <w:tcPr>
            <w:tcW w:type="dxa" w:w="1894"/>
          </w:tcPr>
          <w:p>
            <w:r/>
            <w:r>
              <w:rPr>
                <w:rFonts w:ascii="Calibri" w:hAnsi="Calibri"/>
                <w:b w:val="0"/>
                <w:i w:val="0"/>
                <w:color w:val="000000"/>
                <w:sz w:val="22"/>
              </w:rPr>
              <w:t>5 години</w:t>
            </w:r>
            <w:r>
              <w:rPr>
                <w:rFonts w:ascii="Calibri" w:hAnsi="Calibri"/>
                <w:b w:val="0"/>
                <w:i w:val="0"/>
                <w:color w:val="000000"/>
                <w:sz w:val="14"/>
              </w:rPr>
              <w:t xml:space="preserve"> | </w:t>
            </w:r>
            <w:r>
              <w:rPr>
                <w:rFonts w:ascii="Calibri" w:hAnsi="Calibri"/>
                <w:b w:val="0"/>
                <w:i w:val="0"/>
                <w:color w:val="000000"/>
                <w:sz w:val="14"/>
              </w:rPr>
              <w:t>5 years</w:t>
            </w:r>
          </w:p>
        </w:tc>
      </w:tr>
      <w:tr>
        <w:tc>
          <w:tcPr>
            <w:tcW w:type="dxa" w:w="3631"/>
          </w:tcPr>
          <w:p>
            <w:r/>
            <w:r>
              <w:rPr>
                <w:rFonts w:ascii="Calibri" w:hAnsi="Calibri"/>
                <w:b w:val="0"/>
                <w:i w:val="0"/>
                <w:color w:val="000000"/>
                <w:sz w:val="22"/>
              </w:rPr>
              <w:t>Синџир на чување</w:t>
            </w:r>
            <w:r>
              <w:rPr>
                <w:rFonts w:ascii="Calibri" w:hAnsi="Calibri"/>
                <w:b w:val="0"/>
                <w:i w:val="0"/>
                <w:color w:val="000000"/>
                <w:sz w:val="14"/>
              </w:rPr>
              <w:t xml:space="preserve"> | </w:t>
            </w:r>
            <w:r>
              <w:rPr>
                <w:rFonts w:ascii="Calibri" w:hAnsi="Calibri"/>
                <w:b w:val="0"/>
                <w:i w:val="0"/>
                <w:color w:val="000000"/>
                <w:sz w:val="14"/>
              </w:rPr>
              <w:t>Chain of Custody</w:t>
            </w:r>
          </w:p>
        </w:tc>
        <w:tc>
          <w:tcPr>
            <w:tcW w:type="dxa" w:w="1635"/>
          </w:tcPr>
          <w:p>
            <w:r/>
            <w:r>
              <w:rPr>
                <w:rFonts w:ascii="Calibri" w:hAnsi="Calibri"/>
                <w:b w:val="0"/>
                <w:i w:val="0"/>
                <w:color w:val="000000"/>
                <w:sz w:val="22"/>
              </w:rPr>
              <w:t>QCSOP027_A02</w:t>
            </w:r>
            <w:r>
              <w:rPr>
                <w:rFonts w:ascii="Calibri" w:hAnsi="Calibri"/>
                <w:b w:val="0"/>
                <w:i w:val="0"/>
                <w:color w:val="000000"/>
                <w:sz w:val="14"/>
              </w:rPr>
              <w:t xml:space="preserve"> | </w:t>
            </w:r>
            <w:r>
              <w:rPr>
                <w:rFonts w:ascii="Calibri" w:hAnsi="Calibri"/>
                <w:b w:val="0"/>
                <w:i w:val="0"/>
                <w:color w:val="000000"/>
                <w:sz w:val="14"/>
              </w:rPr>
            </w:r>
          </w:p>
        </w:tc>
        <w:tc>
          <w:tcPr>
            <w:tcW w:type="dxa" w:w="1894"/>
          </w:tcPr>
          <w:p>
            <w:r/>
            <w:r>
              <w:rPr>
                <w:rFonts w:ascii="Calibri" w:hAnsi="Calibri"/>
                <w:b w:val="0"/>
                <w:i w:val="0"/>
                <w:color w:val="000000"/>
                <w:sz w:val="22"/>
              </w:rPr>
              <w:t>5 години</w:t>
            </w:r>
            <w:r>
              <w:rPr>
                <w:rFonts w:ascii="Calibri" w:hAnsi="Calibri"/>
                <w:b w:val="0"/>
                <w:i w:val="0"/>
                <w:color w:val="000000"/>
                <w:sz w:val="14"/>
              </w:rPr>
              <w:t xml:space="preserve"> | </w:t>
            </w:r>
            <w:r>
              <w:rPr>
                <w:rFonts w:ascii="Calibri" w:hAnsi="Calibri"/>
                <w:b w:val="0"/>
                <w:i w:val="0"/>
                <w:color w:val="000000"/>
                <w:sz w:val="14"/>
              </w:rPr>
              <w:t>5 years</w:t>
            </w:r>
          </w:p>
        </w:tc>
      </w:tr>
      <w:tr>
        <w:tc>
          <w:tcPr>
            <w:tcW w:type="dxa" w:w="3631"/>
          </w:tcPr>
          <w:p>
            <w:r/>
            <w:r>
              <w:rPr>
                <w:rFonts w:ascii="Calibri" w:hAnsi="Calibri"/>
                <w:b w:val="0"/>
                <w:i w:val="0"/>
                <w:color w:val="000000"/>
                <w:sz w:val="22"/>
              </w:rPr>
              <w:t>Барање за придружба</w:t>
            </w:r>
            <w:r>
              <w:rPr>
                <w:rFonts w:ascii="Calibri" w:hAnsi="Calibri"/>
                <w:b w:val="0"/>
                <w:i w:val="0"/>
                <w:color w:val="000000"/>
                <w:sz w:val="14"/>
              </w:rPr>
              <w:t xml:space="preserve"> | </w:t>
            </w:r>
            <w:r>
              <w:rPr>
                <w:rFonts w:ascii="Calibri" w:hAnsi="Calibri"/>
                <w:b w:val="0"/>
                <w:i w:val="0"/>
                <w:color w:val="000000"/>
                <w:sz w:val="14"/>
              </w:rPr>
              <w:t>Escort Request</w:t>
            </w:r>
          </w:p>
        </w:tc>
        <w:tc>
          <w:tcPr>
            <w:tcW w:type="dxa" w:w="1635"/>
          </w:tcPr>
          <w:p>
            <w:r/>
            <w:r>
              <w:rPr>
                <w:rFonts w:ascii="Calibri" w:hAnsi="Calibri"/>
                <w:b w:val="0"/>
                <w:i w:val="0"/>
                <w:color w:val="000000"/>
                <w:sz w:val="22"/>
              </w:rPr>
              <w:t>QCSOP027_A03</w:t>
            </w:r>
            <w:r>
              <w:rPr>
                <w:rFonts w:ascii="Calibri" w:hAnsi="Calibri"/>
                <w:b w:val="0"/>
                <w:i w:val="0"/>
                <w:color w:val="000000"/>
                <w:sz w:val="14"/>
              </w:rPr>
              <w:t xml:space="preserve"> | </w:t>
            </w:r>
            <w:r>
              <w:rPr>
                <w:rFonts w:ascii="Calibri" w:hAnsi="Calibri"/>
                <w:b w:val="0"/>
                <w:i w:val="0"/>
                <w:color w:val="000000"/>
                <w:sz w:val="14"/>
              </w:rPr>
            </w:r>
          </w:p>
        </w:tc>
        <w:tc>
          <w:tcPr>
            <w:tcW w:type="dxa" w:w="1894"/>
          </w:tcPr>
          <w:p>
            <w:r/>
            <w:r>
              <w:rPr>
                <w:rFonts w:ascii="Calibri" w:hAnsi="Calibri"/>
                <w:b w:val="0"/>
                <w:i w:val="0"/>
                <w:color w:val="000000"/>
                <w:sz w:val="22"/>
              </w:rPr>
              <w:t>5 години</w:t>
            </w:r>
            <w:r>
              <w:rPr>
                <w:rFonts w:ascii="Calibri" w:hAnsi="Calibri"/>
                <w:b w:val="0"/>
                <w:i w:val="0"/>
                <w:color w:val="000000"/>
                <w:sz w:val="14"/>
              </w:rPr>
              <w:t xml:space="preserve"> | </w:t>
            </w:r>
            <w:r>
              <w:rPr>
                <w:rFonts w:ascii="Calibri" w:hAnsi="Calibri"/>
                <w:b w:val="0"/>
                <w:i w:val="0"/>
                <w:color w:val="000000"/>
                <w:sz w:val="14"/>
              </w:rPr>
              <w:t>5 years</w:t>
            </w:r>
          </w:p>
        </w:tc>
      </w:tr>
      <w:tr>
        <w:tc>
          <w:tcPr>
            <w:tcW w:type="dxa" w:w="3631"/>
          </w:tcPr>
          <w:p>
            <w:r/>
            <w:r>
              <w:rPr>
                <w:rFonts w:ascii="Calibri" w:hAnsi="Calibri"/>
                <w:b w:val="0"/>
                <w:i w:val="0"/>
                <w:color w:val="000000"/>
                <w:sz w:val="22"/>
              </w:rPr>
              <w:t>Наредба за надворешни активности</w:t>
            </w:r>
            <w:r>
              <w:rPr>
                <w:rFonts w:ascii="Calibri" w:hAnsi="Calibri"/>
                <w:b w:val="0"/>
                <w:i w:val="0"/>
                <w:color w:val="000000"/>
                <w:sz w:val="14"/>
              </w:rPr>
              <w:t xml:space="preserve"> | </w:t>
            </w:r>
            <w:r>
              <w:rPr>
                <w:rFonts w:ascii="Calibri" w:hAnsi="Calibri"/>
                <w:b w:val="0"/>
                <w:i w:val="0"/>
                <w:color w:val="000000"/>
                <w:sz w:val="14"/>
              </w:rPr>
              <w:t>Outsourced Activities Order</w:t>
            </w:r>
          </w:p>
        </w:tc>
        <w:tc>
          <w:tcPr>
            <w:tcW w:type="dxa" w:w="1635"/>
          </w:tcPr>
          <w:p>
            <w:r/>
            <w:r>
              <w:rPr>
                <w:rFonts w:ascii="Calibri" w:hAnsi="Calibri"/>
                <w:b w:val="0"/>
                <w:i w:val="0"/>
                <w:color w:val="000000"/>
                <w:sz w:val="22"/>
              </w:rPr>
              <w:t>QCSOP027_A04</w:t>
            </w:r>
            <w:r>
              <w:rPr>
                <w:rFonts w:ascii="Calibri" w:hAnsi="Calibri"/>
                <w:b w:val="0"/>
                <w:i w:val="0"/>
                <w:color w:val="000000"/>
                <w:sz w:val="14"/>
              </w:rPr>
              <w:t xml:space="preserve"> | </w:t>
            </w:r>
            <w:r>
              <w:rPr>
                <w:rFonts w:ascii="Calibri" w:hAnsi="Calibri"/>
                <w:b w:val="0"/>
                <w:i w:val="0"/>
                <w:color w:val="000000"/>
                <w:sz w:val="14"/>
              </w:rPr>
            </w:r>
          </w:p>
        </w:tc>
        <w:tc>
          <w:tcPr>
            <w:tcW w:type="dxa" w:w="1894"/>
          </w:tcPr>
          <w:p>
            <w:r/>
            <w:r>
              <w:rPr>
                <w:rFonts w:ascii="Calibri" w:hAnsi="Calibri"/>
                <w:b w:val="0"/>
                <w:i w:val="0"/>
                <w:color w:val="000000"/>
                <w:sz w:val="22"/>
              </w:rPr>
              <w:t>5 години</w:t>
            </w:r>
            <w:r>
              <w:rPr>
                <w:rFonts w:ascii="Calibri" w:hAnsi="Calibri"/>
                <w:b w:val="0"/>
                <w:i w:val="0"/>
                <w:color w:val="000000"/>
                <w:sz w:val="14"/>
              </w:rPr>
              <w:t xml:space="preserve"> | </w:t>
            </w:r>
            <w:r>
              <w:rPr>
                <w:rFonts w:ascii="Calibri" w:hAnsi="Calibri"/>
                <w:b w:val="0"/>
                <w:i w:val="0"/>
                <w:color w:val="000000"/>
                <w:sz w:val="14"/>
              </w:rPr>
              <w:t>5 years</w:t>
            </w:r>
          </w:p>
        </w:tc>
      </w:tr>
      <w:tr>
        <w:tc>
          <w:tcPr>
            <w:tcW w:type="dxa" w:w="3631"/>
          </w:tcPr>
          <w:p>
            <w:r/>
            <w:r>
              <w:rPr>
                <w:rFonts w:ascii="Calibri" w:hAnsi="Calibri"/>
                <w:b w:val="0"/>
                <w:i w:val="0"/>
                <w:color w:val="000000"/>
                <w:sz w:val="22"/>
              </w:rPr>
              <w:t>Финансиска конструкција</w:t>
            </w:r>
            <w:r>
              <w:rPr>
                <w:rFonts w:ascii="Calibri" w:hAnsi="Calibri"/>
                <w:b w:val="0"/>
                <w:i w:val="0"/>
                <w:color w:val="000000"/>
                <w:sz w:val="14"/>
              </w:rPr>
              <w:t xml:space="preserve"> | </w:t>
            </w:r>
            <w:r>
              <w:rPr>
                <w:rFonts w:ascii="Calibri" w:hAnsi="Calibri"/>
                <w:b w:val="0"/>
                <w:i w:val="0"/>
                <w:color w:val="000000"/>
                <w:sz w:val="14"/>
              </w:rPr>
              <w:t>Financial Calculation</w:t>
            </w:r>
          </w:p>
        </w:tc>
        <w:tc>
          <w:tcPr>
            <w:tcW w:type="dxa" w:w="1635"/>
          </w:tcPr>
          <w:p>
            <w:r/>
            <w:r>
              <w:rPr>
                <w:rFonts w:ascii="Calibri" w:hAnsi="Calibri"/>
                <w:b w:val="0"/>
                <w:i w:val="0"/>
                <w:color w:val="000000"/>
                <w:sz w:val="22"/>
              </w:rPr>
              <w:t>QCSOP027_A05</w:t>
            </w:r>
            <w:r>
              <w:rPr>
                <w:rFonts w:ascii="Calibri" w:hAnsi="Calibri"/>
                <w:b w:val="0"/>
                <w:i w:val="0"/>
                <w:color w:val="000000"/>
                <w:sz w:val="14"/>
              </w:rPr>
              <w:t xml:space="preserve"> | </w:t>
            </w:r>
            <w:r>
              <w:rPr>
                <w:rFonts w:ascii="Calibri" w:hAnsi="Calibri"/>
                <w:b w:val="0"/>
                <w:i w:val="0"/>
                <w:color w:val="000000"/>
                <w:sz w:val="14"/>
              </w:rPr>
            </w:r>
          </w:p>
        </w:tc>
        <w:tc>
          <w:tcPr>
            <w:tcW w:type="dxa" w:w="1894"/>
          </w:tcPr>
          <w:p>
            <w:r/>
            <w:r>
              <w:rPr>
                <w:rFonts w:ascii="Calibri" w:hAnsi="Calibri"/>
                <w:b w:val="0"/>
                <w:i w:val="0"/>
                <w:color w:val="000000"/>
                <w:sz w:val="22"/>
              </w:rPr>
              <w:t>5 години</w:t>
            </w:r>
            <w:r>
              <w:rPr>
                <w:rFonts w:ascii="Calibri" w:hAnsi="Calibri"/>
                <w:b w:val="0"/>
                <w:i w:val="0"/>
                <w:color w:val="000000"/>
                <w:sz w:val="14"/>
              </w:rPr>
              <w:t xml:space="preserve"> | </w:t>
            </w:r>
            <w:r>
              <w:rPr>
                <w:rFonts w:ascii="Calibri" w:hAnsi="Calibri"/>
                <w:b w:val="0"/>
                <w:i w:val="0"/>
                <w:color w:val="000000"/>
                <w:sz w:val="14"/>
              </w:rPr>
              <w:t>5 years</w:t>
            </w:r>
          </w:p>
        </w:tc>
      </w:tr>
    </w:tbl>
    <w:tbl>
      <w:tblPr>
        <w:tblW w:type="auto" w:w="0"/>
        <w:jc w:val="center"/>
        <w:tblLayout w:type="fixed"/>
        <w:tblLook w:firstColumn="1" w:firstRow="1" w:lastColumn="0" w:lastRow="0" w:noHBand="0" w:noVBand="1" w:val="04A0"/>
        <w:tblLayout w:type="fixed"/>
      </w:tblPr>
      <w:tblGrid>
        <w:gridCol w:w="5233"/>
        <w:gridCol w:w="5233"/>
      </w:tblGrid>
      <w:tr>
        <w:tc>
          <w:tcPr>
            <w:tcW w:type="dxa" w:w="5102"/>
            <w:shd w:val="clear" w:color="auto" w:fill="E8E8E8"/>
            <w:tcBorders>
              <w:top w:val="nil"/>
              <w:left w:val="nil"/>
              <w:bottom w:val="nil"/>
              <w:right w:val="single" w:sz="4" w:color="000000"/>
            </w:tcBorders>
          </w:tcPr>
          <w:p>
            <w:pPr>
              <w:pStyle w:val="Heading1"/>
            </w:pPr>
            <w:r/>
            <w:r>
              <w:rPr>
                <w:rFonts w:ascii="Calibri" w:hAnsi="Calibri"/>
                <w:b/>
                <w:i w:val="0"/>
                <w:color w:val="000000"/>
                <w:sz w:val="24"/>
              </w:rPr>
              <w:t>8. ПОВРЗАНИ ДОКУМЕНТИ</w:t>
            </w:r>
          </w:p>
        </w:tc>
        <w:tc>
          <w:tcPr>
            <w:tcW w:type="dxa" w:w="5102"/>
            <w:shd w:val="clear" w:color="auto" w:fill="E8E8E8"/>
            <w:tcBorders>
              <w:top w:val="nil"/>
              <w:left w:val="single" w:sz="4" w:color="000000"/>
              <w:bottom w:val="nil"/>
              <w:right w:val="nil"/>
            </w:tcBorders>
          </w:tcPr>
          <w:p>
            <w:r/>
            <w:r>
              <w:rPr>
                <w:rFonts w:ascii="Calibri" w:hAnsi="Calibri"/>
                <w:b/>
                <w:i w:val="0"/>
                <w:color w:val="595959"/>
                <w:sz w:val="24"/>
              </w:rPr>
              <w:t>8. RELATED DOCUMENTS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QCSOP009 Земање примероци; QCSOP018 Управување со договорни лаборатории; Процедура за отстапувања; Процедура за обука.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QCSOP009 Sampling; QCSOP018 Contract laboratory management; Deviation procedure; Training procedure.</w:t>
            </w:r>
          </w:p>
        </w:tc>
      </w:tr>
      <w:tr>
        <w:tc>
          <w:tcPr>
            <w:tcW w:type="dxa" w:w="5102"/>
            <w:shd w:val="clear" w:color="auto" w:fill="E8E8E8"/>
            <w:tcBorders>
              <w:top w:val="nil"/>
              <w:left w:val="nil"/>
              <w:bottom w:val="nil"/>
              <w:right w:val="single" w:sz="4" w:color="000000"/>
            </w:tcBorders>
          </w:tcPr>
          <w:p>
            <w:pPr>
              <w:pStyle w:val="Heading1"/>
            </w:pPr>
            <w:r/>
            <w:r>
              <w:rPr>
                <w:rFonts w:ascii="Calibri" w:hAnsi="Calibri"/>
                <w:b/>
                <w:i w:val="0"/>
                <w:color w:val="000000"/>
                <w:sz w:val="24"/>
              </w:rPr>
              <w:t>9. РЕВИЗИЈА</w:t>
            </w:r>
          </w:p>
        </w:tc>
        <w:tc>
          <w:tcPr>
            <w:tcW w:type="dxa" w:w="5102"/>
            <w:shd w:val="clear" w:color="auto" w:fill="E8E8E8"/>
            <w:tcBorders>
              <w:top w:val="nil"/>
              <w:left w:val="single" w:sz="4" w:color="000000"/>
              <w:bottom w:val="nil"/>
              <w:right w:val="nil"/>
            </w:tcBorders>
          </w:tcPr>
          <w:p>
            <w:r/>
            <w:r>
              <w:rPr>
                <w:rFonts w:ascii="Calibri" w:hAnsi="Calibri"/>
                <w:b/>
                <w:i w:val="0"/>
                <w:color w:val="595959"/>
                <w:sz w:val="24"/>
              </w:rPr>
              <w:t>9. REVISION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Верзија 1.0 - прво издание. Промените влегуваат во сила по одобрување од QA и QP.</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Version 1.0 - first issue. Changes become effective upon QA and QP approval.</w:t>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Транспорт на QC примероци до надворешни лаборатории</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Transport of QC Samples to Outsourced Laboratories</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22"/>
              <w:szCs w:val="24"/>
            </w:rPr>
            <w:t>QCSOP027</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DRAFT</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