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ИЗВЕШТАЈ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REPORT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Извештај за валидација на транспорт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Transport Validation Report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Квалификација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Transport lane qualification</w:t>
      </w:r>
    </w:p>
    <w:tbl>
      <w:tblPr>
        <w:tblLook w:firstColumn="1" w:firstRow="1" w:lastColumn="0" w:lastRow="0" w:noHBand="0" w:noVBand="1" w:val="04A0"/>
        <w:tblLayout w:type="fixed"/>
        <w:tblW w:type="dxa" w:w="1474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РАБОТНА ВЕРЗИЈА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DRAFT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     ·     Датум на важност | Effective date: —</w:t>
            </w:r>
          </w:p>
        </w:tc>
      </w:tr>
    </w:tbl>
    <w:p/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Lane code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Dispatch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Receipt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Возило / пакување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Vehicle / packaging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Range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 за валидација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Validation 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QASOP_0XX_A01 — 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Поврзана СОП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Governing SOP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QASOP_0XX; WHSOP_003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Број на извештај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Report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(тим за валидација | validation team)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(Логистика / Обезбедување | Logistics / Security)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(QP)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595959"/>
          <w:sz w:val="18"/>
        </w:rPr>
        <w:t>Десен-клик → Ажурирај поле (Update Field) | Right-click → Update Field</w:t>
      </w:r>
      <w:r>
        <w:fldChar w:fldCharType="end"/>
      </w:r>
    </w:p>
    <w:p>
      <w: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Executive Summary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Рутата L__ е квалификувана / не е квалификувана за опсегот ______ врз основа на OQ (тестови OQ-1 до OQ-6) и PQ (три пратки), извршени според протоколот QASOP_0XX_A02 бр. ______. Сите бројки во овој извештај се пресметуваат од необработените податоци наведени во §2; ниедна не се внесува рачно без проверка.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Lane L__ is qualified / is not qualified for the range ______ on the basis of OQ (tests OQ-1 to OQ-6) and PQ (three shipments) performed per protocol QASOP_0XX_A02 No. ______. Every figure in this report is calculated from the raw data listed in §2; none is entered by hand without verification.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ПОДАТОЦИ И ПОТЕКЛО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Data and Provenance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За секоја датотека од логер се евидентира потеклото (ALCOA+): име на датотеката, SHA-256, големина и датум на измена, сериски број на логерот и тестот.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every logger file the provenance is recorded (ALCOA+): file name, SHA-256, size and modification date, logger serial number and test.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247"/>
        <w:gridCol w:w="2528"/>
        <w:gridCol w:w="2551"/>
        <w:gridCol w:w="1134"/>
        <w:gridCol w:w="198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</w:t>
            </w:r>
          </w:p>
        </w:tc>
        <w:tc>
          <w:tcPr>
            <w:shd w:val="clear" w:color="auto" w:fill="2B547E"/>
            <w:vAlign w:val="center"/>
            <w:tcW w:type="dxa" w:w="2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Датотека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File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SHA-256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Бајти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Bytes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Изменета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Modified</w:t>
            </w:r>
          </w:p>
        </w:tc>
      </w:tr>
      <w:tr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МЕТОДА НА ПРЕСМЕТКА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Calculation Method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Сите вредности се пресметуваат од необработените податоци на секој логер (n мерења во интервал Δt), а не се читаат од софтверот без проверка; температурите во MKT се во келвини (T = °C + 273,15).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values are calculated from each logger's raw data (n readings at interval Δt), not read from the software without verification; temperatures in the MKT are in kelvin (T = °C + 273.15).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вредност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Стандардна девијација (примерок)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Standard deviation (sample)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rad>
      </m:oMath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кинетичка температура (USP ⟨1079.2⟩)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 kinetic temperature (USP ⟨1079.2⟩)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M</m:t>
        </m:r>
        <m:r>
          <m:t>K</m:t>
        </m: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273</m:t>
        </m:r>
        <m:r>
          <m:rPr>
            <m:sty m:val="p"/>
          </m:rPr>
          <m:t>,</m:t>
        </m:r>
        <m:r>
          <m:t>15</m:t>
        </m:r>
      </m:oMath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Кумулативно време надвор од опсег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Cumulative time out of range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∉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</m:e>
            </m:d>
          </m:e>
        </m:d>
      </m:oMath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3.1  Решен пример (образец)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Worked example (template)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За секој логер и тест, MKT се прикажува како решен чекор: општа формула, формулата со вредностите и резултатот. Полињата подолу се пополнуваат од податоците; не се внесуваат измислени вредности.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logger and test the MKT is shown as a worked step: general formula, the formula with the values, and the result. The fields below are filled from the data; no invented values are entered.</w:t>
      </w:r>
    </w:p>
    <w:p>
      <w:pPr>
        <w:spacing w:before="100" w:after="20"/>
      </w:pPr>
      <w:r>
        <w:rPr>
          <w:rFonts w:ascii="Calibri" w:hAnsi="Calibri"/>
          <w:b/>
          <w:i w:val="0"/>
          <w:color w:val="2B547E"/>
          <w:sz w:val="24"/>
        </w:rPr>
        <w:t>MKT — логер ___, тест ___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MKT — logger ___, test ___</w:t>
      </w:r>
    </w:p>
    <w:p>
      <w:pPr>
        <w:spacing w:before="40" w:after="4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40" w:after="4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10000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∑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10000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e>
            </m:d>
          </m:den>
        </m:f>
        <m:r>
          <m:rPr>
            <m:sty m:val="p"/>
          </m:rPr>
          <m:t>,</m:t>
        </m:r>
        <m:r>
          <m:t> 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_</m:t>
        </m:r>
        <m:r>
          <m:rPr>
            <m:sty m:val="p"/>
          </m:rPr>
          <m:t>_</m:t>
        </m:r>
        <m:r>
          <m:rPr>
            <m:sty m:val="p"/>
          </m:rPr>
          <m:t>_</m:t>
        </m:r>
      </m:oMath>
    </w:p>
    <w:p>
      <w:pPr>
        <w:spacing w:before="40" w:after="100"/>
        <w:ind w:left="170"/>
        <w:pBdr>
          <w:left w:val="single" w:sz="18" w:space="8" w:color="2B547E"/>
        </w:pBdr>
        <w:shd w:val="clear" w:fill="EAF1F8"/>
      </w:pPr>
      <m:oMath xmlns:a="http://schemas.openxmlformats.org/drawingml/2006/main" xmlns:pic="http://schemas.openxmlformats.org/drawingml/2006/picture">
        <m:r>
          <w:rPr>
            <w:color w:val="2B547E"/>
            <w:b/>
          </w:rPr>
          <m:t>M</m:t>
        </m:r>
        <m:r>
          <w:rPr>
            <w:color w:val="2B547E"/>
            <w:b/>
          </w:rPr>
          <m:t>K</m:t>
        </m:r>
        <m:r>
          <w:rPr>
            <w:color w:val="2B547E"/>
            <w:b/>
          </w:rPr>
          <m:t>T</m:t>
        </m:r>
        <m:r>
          <m:rPr>
            <m:sty m:val="p"/>
          </m:rPr>
          <w:rPr>
            <w:color w:val="2B547E"/>
            <w:b/>
          </w:rPr>
          <m:t>=</m:t>
        </m:r>
        <m:r>
          <m:rPr>
            <m:sty m:val="p"/>
          </m:rPr>
          <w:rPr>
            <w:color w:val="2B547E"/>
            <w:b/>
          </w:rPr>
          <m:t>_</m:t>
        </m:r>
        <m:r>
          <m:rPr>
            <m:sty m:val="p"/>
          </m:rPr>
          <w:rPr>
            <w:color w:val="2B547E"/>
            <w:b/>
          </w:rPr>
          <m:t>_</m:t>
        </m:r>
        <m:r>
          <m:rPr>
            <m:sty m:val="p"/>
          </m:rPr>
          <w:rPr>
            <w:color w:val="2B547E"/>
            <w:b/>
          </w:rPr>
          <m:t>_</m:t>
        </m:r>
        <m:sSup>
          <m:e>
            <m:r>
              <w:rPr>
                <w:color w:val="2B547E"/>
                <w:b/>
              </w:rPr>
              <m:t> </m:t>
            </m:r>
          </m:e>
          <m:sup>
            <m:r>
              <m:rPr>
                <m:sty m:val="p"/>
              </m:rPr>
              <w:rPr>
                <w:color w:val="2B547E"/>
                <w:b/>
              </w:rPr>
              <m:t>∘</m:t>
            </m:r>
          </m:sup>
        </m:sSup>
        <m:r>
          <w:rPr>
            <w:color w:val="2B547E"/>
            <w:b/>
          </w:rPr>
          <m:t>C</m:t>
        </m:r>
      </m:oMath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РЕЗУЛТАТИ — OQ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Results — OQ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07"/>
        <w:gridCol w:w="1587"/>
        <w:gridCol w:w="1587"/>
        <w:gridCol w:w="1134"/>
        <w:gridCol w:w="793"/>
        <w:gridCol w:w="1020"/>
        <w:gridCol w:w="1247"/>
        <w:gridCol w:w="218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Средна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°C</w:t>
            </w:r>
          </w:p>
        </w:tc>
        <w:tc>
          <w:tcPr>
            <w:shd w:val="clear" w:color="auto" w:fill="2B547E"/>
            <w:vAlign w:val="center"/>
            <w:tcW w:type="dxa" w:w="7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OQ-1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OQ-2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OQ-4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OQ-5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OQ-6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02"/>
        <w:gridCol w:w="2835"/>
        <w:gridCol w:w="2812"/>
        <w:gridCol w:w="1417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Време до опсег (мин)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Time to range (min)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Враќање по врата 1 / 2 (мин)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Return after door 1 / 2 (min)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Време на задржување (мин)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Hold time (min)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Жешка точка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Hot spot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Студена точка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Cold spot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Позиција на рутинскиот логер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Routine logger position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РЕЗУЛТАТИ — PQ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Results — PQ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1587"/>
        <w:gridCol w:w="1134"/>
        <w:gridCol w:w="1020"/>
        <w:gridCol w:w="1020"/>
        <w:gridCol w:w="1020"/>
        <w:gridCol w:w="1360"/>
        <w:gridCol w:w="218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Season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Duration</w:t>
            </w:r>
          </w:p>
        </w:tc>
        <w:tc>
          <w:tcPr>
            <w:shd w:val="clear" w:color="auto" w:fill="2B547E"/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</w:tr>
      <w:t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PQ-1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PQ-2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ОТСТАПУВАЊА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1020"/>
        <w:gridCol w:w="2835"/>
        <w:gridCol w:w="1984"/>
        <w:gridCol w:w="292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Root cause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CAPA</w:t>
            </w:r>
          </w:p>
        </w:tc>
        <w:tc>
          <w:tcPr>
            <w:shd w:val="clear" w:color="auto" w:fill="2B547E"/>
            <w:vAlign w:val="center"/>
            <w:tcW w:type="dxa" w:w="29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Влијание врз заклучокот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Impact on conclusion</w:t>
            </w:r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2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ЗАКЛУЧОК И СТАТУС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Conclusion and Status</w:t>
      </w: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2676"/>
        <w:gridCol w:w="283"/>
        <w:gridCol w:w="623"/>
        <w:gridCol w:w="2676"/>
        <w:gridCol w:w="283"/>
        <w:gridCol w:w="623"/>
        <w:gridCol w:w="2676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QUALIFIED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QUALIFIED со ограничувања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with limitations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NOT QUALIFIED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536"/>
        <w:gridCol w:w="5930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45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Limitation</w:t>
            </w:r>
          </w:p>
        </w:tc>
        <w:tc>
          <w:tcPr>
            <w:shd w:val="clear" w:color="auto" w:fill="2B547E"/>
            <w:vAlign w:val="center"/>
            <w:tcW w:type="dxa" w:w="59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Вредност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Value</w:t>
            </w:r>
          </w:p>
        </w:tc>
      </w:tr>
      <w:tr>
        <w:tc>
          <w:tcPr>
            <w:shd w:val="clear" w:color="auto" w:fill="F2F2F2"/>
            <w:vAlign w:val="center"/>
            <w:tcW w:type="dxa" w:w="45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Season</w:t>
            </w:r>
          </w:p>
        </w:tc>
        <w:tc>
          <w:tcPr>
            <w:vAlign w:val="center"/>
            <w:tcW w:type="dxa" w:w="593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5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Максимално времетраење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Maximum duration</w:t>
            </w:r>
          </w:p>
        </w:tc>
        <w:tc>
          <w:tcPr>
            <w:vAlign w:val="center"/>
            <w:tcW w:type="dxa" w:w="593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5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Максимален товар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Maximum load</w:t>
            </w:r>
          </w:p>
        </w:tc>
        <w:tc>
          <w:tcPr>
            <w:vAlign w:val="center"/>
            <w:tcW w:type="dxa" w:w="593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5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Позиција на рутинскиот логер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Routine logger position</w:t>
            </w:r>
          </w:p>
        </w:tc>
        <w:tc>
          <w:tcPr>
            <w:vAlign w:val="center"/>
            <w:tcW w:type="dxa" w:w="593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5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Важи до (реквалификација)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Valid until (requalification)</w:t>
            </w:r>
          </w:p>
        </w:tc>
        <w:tc>
          <w:tcPr>
            <w:vAlign w:val="center"/>
            <w:tcW w:type="dxa" w:w="593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 одобрението, QA ја внесува рутата во QASOP_0XX_A06 и ограничувањата се пренесуваат во TRA (WHSOP_003_A01).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After approval, QA enters the lane in QASOP_0XX_A06 and the limitations are carried into the TRA (WHSOP_003_A01).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ОДОБРУВАЊЕ НА ИЗВЕШТАЈОТ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Report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229"/>
        <w:gridCol w:w="2079"/>
        <w:gridCol w:w="2079"/>
        <w:gridCol w:w="2079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Prepared (validation team)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Пресметките проверил (второ лице)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Calculations verified (second person)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(QA)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(QP)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(QP)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Извештај за валидација на транспорт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Report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