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20" w:after="80"/>
        <w:jc w:val="center"/>
      </w:pPr>
      <w:r>
        <w:rPr>
          <w:rFonts w:ascii="Calibri" w:hAnsi="Calibri"/>
          <w:b/>
          <w:i w:val="0"/>
          <w:color w:val="2B547E"/>
          <w:sz w:val="48"/>
        </w:rPr>
        <w:t>СТАНДАРДНА ОПЕРАТИВНА ПРОЦЕДУРА</w:t>
      </w:r>
    </w:p>
    <w:p>
      <w:pPr>
        <w:spacing w:before="120" w:after="80"/>
        <w:jc w:val="center"/>
      </w:pPr>
      <w:r>
        <w:rPr>
          <w:rFonts w:ascii="Calibri" w:hAnsi="Calibri"/>
          <w:b w:val="0"/>
          <w:i w:val="0"/>
          <w:color w:val="595959"/>
          <w:sz w:val="28"/>
        </w:rPr>
        <w:t>STANDARD OPERATING PROCEDURE</w:t>
      </w:r>
    </w:p>
    <w:p>
      <w:pPr>
        <w:spacing w:before="120" w:after="80"/>
        <w:jc w:val="center"/>
      </w:pPr>
      <w:r>
        <w:rPr>
          <w:rFonts w:ascii="Calibri" w:hAnsi="Calibri"/>
          <w:b/>
          <w:i w:val="0"/>
          <w:color w:val="2B547E"/>
          <w:sz w:val="36"/>
        </w:rPr>
        <w:t>WHSOP_003 · DRAFT</w:t>
      </w:r>
    </w:p>
    <w:p>
      <w:pPr>
        <w:spacing w:before="80" w:after="160"/>
        <w:jc w:val="center"/>
      </w:pPr>
      <w:r>
        <w:rPr>
          <w:rFonts w:ascii="Calibri" w:hAnsi="Calibri"/>
          <w:b/>
          <w:i w:val="0"/>
          <w:color w:val="000000"/>
          <w:sz w:val="24"/>
        </w:rPr>
        <w:t>Внатрешен (копнен) транспорт на опојни дроги — медицински канабис</w:t>
      </w:r>
      <w:r>
        <w:rPr>
          <w:rFonts w:ascii="Calibri" w:hAnsi="Calibri"/>
          <w:b w:val="0"/>
          <w:i w:val="0"/>
          <w:color w:val="595959"/>
          <w:sz w:val="20"/>
        </w:rPr>
        <w:t xml:space="preserve"> | </w:t>
      </w:r>
      <w:r>
        <w:rPr>
          <w:rFonts w:ascii="Calibri" w:hAnsi="Calibri"/>
          <w:b/>
          <w:i w:val="0"/>
          <w:color w:val="595959"/>
          <w:sz w:val="24"/>
        </w:rPr>
        <w:t>Inland Transport of Narcotic Drugs (Euphoric Substances) — Medical Cannabis</w:t>
      </w:r>
    </w:p>
    <w:tbl>
      <w:tblPr>
        <w:tblW w:type="auto" w:w="0"/>
        <w:jc w:val="center"/>
        <w:tblLayout w:type="fixed"/>
        <w:tblLook w:firstColumn="1" w:firstRow="1" w:lastColumn="0" w:lastRow="0" w:noHBand="0" w:noVBand="1" w:val="04A0"/>
        <w:tblLayout w:type="fixed"/>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Pr>
      <w:tblGrid>
        <w:gridCol w:w="10466"/>
      </w:tblGrid>
      <w:tr>
        <w:tc>
          <w:tcPr>
            <w:tcW w:type="dxa" w:w="10205"/>
            <w:shd w:val="clear" w:color="auto" w:fill="FDEDEC"/>
            <w:tcMar>
              <w:top w:w="46" w:type="dxa"/>
              <w:left w:w="86" w:type="dxa"/>
              <w:bottom w:w="46" w:type="dxa"/>
              <w:right w:w="86" w:type="dxa"/>
            </w:tcMar>
          </w:tcPr>
          <w:p>
            <w:pPr>
              <w:spacing w:before="20" w:after="20"/>
              <w:jc w:val="center"/>
            </w:pPr>
            <w:r>
              <w:rPr>
                <w:rFonts w:ascii="Calibri" w:hAnsi="Calibri"/>
                <w:b/>
                <w:i w:val="0"/>
                <w:color w:val="C00000"/>
                <w:sz w:val="24"/>
              </w:rPr>
              <w:t>РАБОТНА ВЕРЗИЈА — НЕ ЗА УПОТРЕБА | DRAFT — NOT FOR USE</w:t>
            </w:r>
          </w:p>
          <w:p>
            <w:pPr>
              <w:spacing w:before="20" w:after="20"/>
              <w:jc w:val="center"/>
            </w:pPr>
            <w:r>
              <w:rPr>
                <w:rFonts w:ascii="Calibri" w:hAnsi="Calibri"/>
                <w:b/>
                <w:i w:val="0"/>
                <w:color w:val="000000"/>
                <w:sz w:val="20"/>
              </w:rPr>
              <w:t>Верзија | Version: DRAFT</w:t>
            </w:r>
            <w:r>
              <w:rPr>
                <w:rFonts w:ascii="Calibri" w:hAnsi="Calibri"/>
                <w:b w:val="0"/>
                <w:i w:val="0"/>
                <w:color w:val="595959"/>
                <w:sz w:val="20"/>
              </w:rPr>
              <w:t xml:space="preserve">     </w:t>
            </w:r>
            <w:r>
              <w:rPr>
                <w:rFonts w:ascii="Calibri" w:hAnsi="Calibri"/>
                <w:b/>
                <w:i w:val="0"/>
                <w:color w:val="000000"/>
                <w:sz w:val="20"/>
              </w:rPr>
              <w:t>Датум на важност | Effective date: —</w:t>
            </w:r>
          </w:p>
        </w:tc>
      </w:tr>
    </w:tbl>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16"/>
        <w:gridCol w:w="2616"/>
        <w:gridCol w:w="2616"/>
        <w:gridCol w:w="2616"/>
      </w:tblGrid>
      <w:tr>
        <w:tc>
          <w:tcPr>
            <w:tcW w:type="dxa" w:w="2665"/>
            <w:shd w:val="clear" w:color="auto" w:fill="D9E2F3"/>
          </w:tcPr>
          <w:p>
            <w:r/>
            <w:r>
              <w:rPr>
                <w:rFonts w:ascii="Calibri" w:hAnsi="Calibri"/>
                <w:b/>
                <w:i w:val="0"/>
                <w:color w:val="000000"/>
                <w:sz w:val="22"/>
              </w:rPr>
              <w:t>Дејство</w:t>
            </w:r>
            <w:r>
              <w:rPr>
                <w:rFonts w:ascii="Calibri" w:hAnsi="Calibri"/>
                <w:b w:val="0"/>
                <w:i w:val="0"/>
                <w:color w:val="000000"/>
                <w:sz w:val="14"/>
              </w:rPr>
              <w:t xml:space="preserve"> | </w:t>
            </w:r>
            <w:r>
              <w:rPr>
                <w:rFonts w:ascii="Calibri" w:hAnsi="Calibri"/>
                <w:b/>
                <w:i w:val="0"/>
                <w:color w:val="000000"/>
                <w:sz w:val="14"/>
              </w:rPr>
              <w:t>Action</w:t>
            </w:r>
          </w:p>
        </w:tc>
        <w:tc>
          <w:tcPr>
            <w:tcW w:type="dxa" w:w="2665"/>
            <w:shd w:val="clear" w:color="auto" w:fill="D9E2F3"/>
          </w:tcPr>
          <w:p>
            <w:r/>
            <w:r>
              <w:rPr>
                <w:rFonts w:ascii="Calibri" w:hAnsi="Calibri"/>
                <w:b/>
                <w:i w:val="0"/>
                <w:color w:val="000000"/>
                <w:sz w:val="22"/>
              </w:rPr>
              <w:t>Позиција</w:t>
            </w:r>
            <w:r>
              <w:rPr>
                <w:rFonts w:ascii="Calibri" w:hAnsi="Calibri"/>
                <w:b w:val="0"/>
                <w:i w:val="0"/>
                <w:color w:val="000000"/>
                <w:sz w:val="14"/>
              </w:rPr>
              <w:t xml:space="preserve"> | </w:t>
            </w:r>
            <w:r>
              <w:rPr>
                <w:rFonts w:ascii="Calibri" w:hAnsi="Calibri"/>
                <w:b/>
                <w:i w:val="0"/>
                <w:color w:val="000000"/>
                <w:sz w:val="14"/>
              </w:rPr>
              <w:t>Position</w:t>
            </w:r>
          </w:p>
        </w:tc>
        <w:tc>
          <w:tcPr>
            <w:tcW w:type="dxa" w:w="2665"/>
            <w:shd w:val="clear" w:color="auto" w:fill="D9E2F3"/>
          </w:tcPr>
          <w:p>
            <w:r/>
            <w:r>
              <w:rPr>
                <w:rFonts w:ascii="Calibri" w:hAnsi="Calibri"/>
                <w:b/>
                <w:i w:val="0"/>
                <w:color w:val="000000"/>
                <w:sz w:val="22"/>
              </w:rPr>
              <w:t>Име</w:t>
            </w:r>
            <w:r>
              <w:rPr>
                <w:rFonts w:ascii="Calibri" w:hAnsi="Calibri"/>
                <w:b w:val="0"/>
                <w:i w:val="0"/>
                <w:color w:val="000000"/>
                <w:sz w:val="14"/>
              </w:rPr>
              <w:t xml:space="preserve"> | </w:t>
            </w:r>
            <w:r>
              <w:rPr>
                <w:rFonts w:ascii="Calibri" w:hAnsi="Calibri"/>
                <w:b/>
                <w:i w:val="0"/>
                <w:color w:val="000000"/>
                <w:sz w:val="14"/>
              </w:rPr>
              <w:t>Name</w:t>
            </w:r>
          </w:p>
        </w:tc>
        <w:tc>
          <w:tcPr>
            <w:tcW w:type="dxa" w:w="2665"/>
            <w:shd w:val="clear" w:color="auto" w:fill="D9E2F3"/>
          </w:tcPr>
          <w:p>
            <w:r/>
            <w:r>
              <w:rPr>
                <w:rFonts w:ascii="Calibri" w:hAnsi="Calibri"/>
                <w:b/>
                <w:i w:val="0"/>
                <w:color w:val="000000"/>
                <w:sz w:val="22"/>
              </w:rPr>
              <w:t>Датум/Потпис</w:t>
            </w:r>
            <w:r>
              <w:rPr>
                <w:rFonts w:ascii="Calibri" w:hAnsi="Calibri"/>
                <w:b w:val="0"/>
                <w:i w:val="0"/>
                <w:color w:val="000000"/>
                <w:sz w:val="14"/>
              </w:rPr>
              <w:t xml:space="preserve"> | </w:t>
            </w:r>
            <w:r>
              <w:rPr>
                <w:rFonts w:ascii="Calibri" w:hAnsi="Calibri"/>
                <w:b/>
                <w:i w:val="0"/>
                <w:color w:val="000000"/>
                <w:sz w:val="14"/>
              </w:rPr>
              <w:t>Date/Sign</w:t>
            </w:r>
          </w:p>
        </w:tc>
      </w:tr>
      <w:tr>
        <w:tc>
          <w:tcPr>
            <w:tcW w:type="dxa" w:w="2665"/>
          </w:tcPr>
          <w:p>
            <w:r/>
            <w:r>
              <w:rPr>
                <w:rFonts w:ascii="Calibri" w:hAnsi="Calibri"/>
                <w:b w:val="0"/>
                <w:i w:val="0"/>
                <w:color w:val="000000"/>
                <w:sz w:val="20"/>
              </w:rPr>
              <w:t>Подготвил | Prepared by</w:t>
            </w:r>
          </w:p>
        </w:tc>
        <w:tc>
          <w:tcPr>
            <w:tcW w:type="dxa" w:w="2665"/>
          </w:tcPr>
          <w:p/>
        </w:tc>
        <w:tc>
          <w:tcPr>
            <w:tcW w:type="dxa" w:w="2665"/>
          </w:tcPr>
          <w:p>
            <w:r>
              <w:rPr>
                <w:rFonts w:ascii="Calibri" w:hAnsi="Calibri"/>
                <w:b w:val="0"/>
                <w:i w:val="0"/>
                <w:color w:val="000000"/>
                <w:sz w:val="20"/>
              </w:rPr>
              <w:t>B. Nikolov, M.Pharm.</w:t>
            </w:r>
          </w:p>
        </w:tc>
        <w:tc>
          <w:tcPr>
            <w:tcW w:type="dxa" w:w="2665"/>
          </w:tcPr>
          <w:p>
            <w:r>
              <w:rPr>
                <w:rFonts w:ascii="Calibri" w:hAnsi="Calibri"/>
                <w:b w:val="0"/>
                <w:i/>
                <w:color w:val="595959"/>
                <w:sz w:val="18"/>
              </w:rPr>
              <w:t>Во тек | Pending</w:t>
            </w:r>
          </w:p>
        </w:tc>
      </w:tr>
      <w:tr>
        <w:tc>
          <w:tcPr>
            <w:tcW w:type="dxa" w:w="2665"/>
          </w:tcPr>
          <w:p>
            <w:r/>
            <w:r>
              <w:rPr>
                <w:rFonts w:ascii="Calibri" w:hAnsi="Calibri"/>
                <w:b w:val="0"/>
                <w:i w:val="0"/>
                <w:color w:val="000000"/>
                <w:sz w:val="20"/>
              </w:rPr>
              <w:t>Проверил | Reviewed by</w:t>
            </w:r>
          </w:p>
        </w:tc>
        <w:tc>
          <w:tcPr>
            <w:tcW w:type="dxa" w:w="2665"/>
          </w:tcPr>
          <w:p/>
        </w:tc>
        <w:tc>
          <w:tcPr>
            <w:tcW w:type="dxa" w:w="2665"/>
          </w:tcPr>
          <w:p>
            <w:r>
              <w:rPr>
                <w:rFonts w:ascii="Calibri" w:hAnsi="Calibri"/>
                <w:b w:val="0"/>
                <w:i w:val="0"/>
                <w:color w:val="000000"/>
                <w:sz w:val="20"/>
              </w:rPr>
              <w:t>J. Romevska</w:t>
            </w:r>
          </w:p>
        </w:tc>
        <w:tc>
          <w:tcPr>
            <w:tcW w:type="dxa" w:w="2665"/>
          </w:tcPr>
          <w:p>
            <w:r>
              <w:rPr>
                <w:rFonts w:ascii="Calibri" w:hAnsi="Calibri"/>
                <w:b w:val="0"/>
                <w:i/>
                <w:color w:val="595959"/>
                <w:sz w:val="18"/>
              </w:rPr>
              <w:t>Во тек | Pending</w:t>
            </w:r>
          </w:p>
        </w:tc>
      </w:tr>
      <w:tr>
        <w:tc>
          <w:tcPr>
            <w:tcW w:type="dxa" w:w="2665"/>
          </w:tcPr>
          <w:p>
            <w:r/>
            <w:r>
              <w:rPr>
                <w:rFonts w:ascii="Calibri" w:hAnsi="Calibri"/>
                <w:b w:val="0"/>
                <w:i w:val="0"/>
                <w:color w:val="000000"/>
                <w:sz w:val="20"/>
              </w:rPr>
              <w:t>Одобрил | Approved by</w:t>
            </w:r>
          </w:p>
        </w:tc>
        <w:tc>
          <w:tcPr>
            <w:tcW w:type="dxa" w:w="2665"/>
          </w:tcPr>
          <w:p/>
        </w:tc>
        <w:tc>
          <w:tcPr>
            <w:tcW w:type="dxa" w:w="2665"/>
          </w:tcPr>
          <w:p>
            <w:r>
              <w:rPr>
                <w:rFonts w:ascii="Calibri" w:hAnsi="Calibri"/>
                <w:b w:val="0"/>
                <w:i w:val="0"/>
                <w:color w:val="000000"/>
                <w:sz w:val="20"/>
              </w:rPr>
              <w:t>S. Petrova</w:t>
            </w:r>
          </w:p>
        </w:tc>
        <w:tc>
          <w:tcPr>
            <w:tcW w:type="dxa" w:w="2665"/>
          </w:tcPr>
          <w:p>
            <w:r>
              <w:rPr>
                <w:rFonts w:ascii="Calibri" w:hAnsi="Calibri"/>
                <w:b w:val="0"/>
                <w:i/>
                <w:color w:val="595959"/>
                <w:sz w:val="18"/>
              </w:rPr>
              <w:t>Во тек | Pending</w:t>
            </w:r>
          </w:p>
        </w:tc>
      </w:tr>
    </w:tbl>
    <w:p>
      <w:r>
        <w:br w:type="page"/>
      </w:r>
    </w:p>
    <w:p>
      <w:r>
        <w:rPr>
          <w:rFonts w:ascii="Calibri" w:hAnsi="Calibri"/>
          <w:b/>
          <w:i w:val="0"/>
          <w:color w:val="2B547E"/>
          <w:sz w:val="28"/>
        </w:rPr>
        <w:t>СОДРЖИНА | TABLE OF CONTENTS</w:t>
      </w:r>
    </w:p>
    <w:p>
      <w:r>
        <w:fldChar w:fldCharType="begin"/>
        <w:instrText xml:space="preserve"> TOC \o "1-3" \h \z \u </w:instrText>
        <w:fldChar w:fldCharType="separate"/>
      </w:r>
      <w:r>
        <w:t xml:space="preserve"> </w:t>
      </w:r>
      <w:r>
        <w:fldChar w:fldCharType="end"/>
      </w:r>
    </w:p>
    <w:p>
      <w:r>
        <w:rPr>
          <w:rFonts w:ascii="Calibri" w:hAnsi="Calibri"/>
          <w:b w:val="0"/>
          <w:i/>
          <w:color w:val="595959"/>
          <w:sz w:val="16"/>
        </w:rPr>
        <w:t>(TOC updates automatically on open; or right-click → Update Field)</w:t>
      </w:r>
    </w:p>
    <w:p>
      <w:r>
        <w:br w:type="page"/>
      </w:r>
    </w:p>
    <w:tbl>
      <w:tblPr>
        <w:tblW w:type="auto" w:w="0"/>
        <w:jc w:val="center"/>
        <w:tblLayout w:type="fixed"/>
        <w:tblLook w:firstColumn="1" w:firstRow="1" w:lastColumn="0" w:lastRow="0" w:noHBand="0" w:noVBand="1" w:val="04A0"/>
        <w:tblLayout w:type="fixed"/>
      </w:tblPr>
      <w:tblGrid>
        <w:gridCol w:w="5233"/>
        <w:gridCol w:w="5233"/>
      </w:tblGrid>
      <w:tr>
        <w:tc>
          <w:tcPr>
            <w:tcW w:type="dxa" w:w="5102"/>
            <w:shd w:val="clear" w:color="auto" w:fill="E8E8E8"/>
            <w:tcBorders>
              <w:top w:val="nil"/>
              <w:left w:val="nil"/>
              <w:bottom w:val="nil"/>
              <w:right w:val="single" w:sz="4" w:color="000000"/>
            </w:tcBorders>
          </w:tcPr>
          <w:p>
            <w:pPr>
              <w:pStyle w:val="Heading1"/>
            </w:pPr>
            <w:r/>
            <w:r>
              <w:rPr>
                <w:rFonts w:ascii="Calibri" w:hAnsi="Calibri"/>
                <w:b/>
                <w:i w:val="0"/>
                <w:color w:val="000000"/>
                <w:sz w:val="24"/>
              </w:rPr>
              <w:t>1.0 ЦЕЛ</w:t>
            </w:r>
          </w:p>
        </w:tc>
        <w:tc>
          <w:tcPr>
            <w:tcW w:type="dxa" w:w="5102"/>
            <w:shd w:val="clear" w:color="auto" w:fill="E8E8E8"/>
            <w:tcBorders>
              <w:top w:val="nil"/>
              <w:left w:val="single" w:sz="4" w:color="000000"/>
              <w:bottom w:val="nil"/>
              <w:right w:val="nil"/>
            </w:tcBorders>
          </w:tcPr>
          <w:p>
            <w:r/>
            <w:r>
              <w:rPr>
                <w:rFonts w:ascii="Calibri" w:hAnsi="Calibri"/>
                <w:b/>
                <w:i w:val="0"/>
                <w:color w:val="595959"/>
                <w:sz w:val="24"/>
              </w:rPr>
              <w:t>1.0 PURPOSE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Целта на оваа стандардна оперативна процедура (СОП) е да ги пропише активностите, одговорностите и контролите со кои секое движење на опојни дроги (медицински канабис во сите негови форми) по копнен (друмски) пат во рамките на Република Северна Македонија се изведува безбедно, обезбедено, во пропишаните услови на температура и влага, со непрекинат ланец на надзор и со целосна следливост од испраќач до примач.</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purpose of this Standard Operating Procedure (SOP) is to prescribe the activities, responsibilities and controls by which every movement of narcotic drugs (medical cannabis in all its forms) by inland (road) transport within the Republic of North Macedonia is performed safely, securely, within the prescribed temperature and humidity conditions, with an unbroken chain of custody and with complete traceability from consignor to consignee.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Процедурата обезбедува: (а) интегритет на производот и мострите преку контролирано пакување, означување и следење на условите; (б) безбедност и непрекинат ланец на надзор; (в) усогласеност со националните прописи за контрола на опојни дроги, вклучувајќи го претходното известување до Министерството за внатрешни работи и известувањето по транспортот до Министерството за здравство; и (г) следливост на секоја пратка до серијата, барањето, транспортниот настан и резултатот.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procedure ensures: (a) integrity of product and samples through controlled packaging, labelling and condition monitoring; (b) security and an unbroken chain of custody; (c) compliance with the national narcotic-control regulations, including prior notification to the Ministry of Interior Affairs and post-transport notification to the Ministry of Health; and (d) traceability of every consignment to its batch, request, transport event and result.</w:t>
            </w:r>
          </w:p>
        </w:tc>
      </w:tr>
      <w:tr>
        <w:tc>
          <w:tcPr>
            <w:tcW w:type="dxa" w:w="5102"/>
            <w:shd w:val="clear" w:color="auto" w:fill="E8E8E8"/>
            <w:tcBorders>
              <w:top w:val="nil"/>
              <w:left w:val="nil"/>
              <w:bottom w:val="nil"/>
              <w:right w:val="single" w:sz="4" w:color="000000"/>
            </w:tcBorders>
          </w:tcPr>
          <w:p>
            <w:pPr>
              <w:pStyle w:val="Heading1"/>
            </w:pPr>
            <w:r/>
            <w:r>
              <w:rPr>
                <w:rFonts w:ascii="Calibri" w:hAnsi="Calibri"/>
                <w:b/>
                <w:i w:val="0"/>
                <w:color w:val="000000"/>
                <w:sz w:val="24"/>
              </w:rPr>
              <w:t>2.0 ПОДРАЧЈЕ НА ПРИМЕНА</w:t>
            </w:r>
          </w:p>
        </w:tc>
        <w:tc>
          <w:tcPr>
            <w:tcW w:type="dxa" w:w="5102"/>
            <w:shd w:val="clear" w:color="auto" w:fill="E8E8E8"/>
            <w:tcBorders>
              <w:top w:val="nil"/>
              <w:left w:val="single" w:sz="4" w:color="000000"/>
              <w:bottom w:val="nil"/>
              <w:right w:val="nil"/>
            </w:tcBorders>
          </w:tcPr>
          <w:p>
            <w:r/>
            <w:r>
              <w:rPr>
                <w:rFonts w:ascii="Calibri" w:hAnsi="Calibri"/>
                <w:b/>
                <w:i w:val="0"/>
                <w:color w:val="595959"/>
                <w:sz w:val="24"/>
              </w:rPr>
              <w:t>2.0 SCOPE</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2.1 Применливост</w:t>
            </w:r>
          </w:p>
        </w:tc>
        <w:tc>
          <w:tcPr>
            <w:tcW w:type="dxa" w:w="5102"/>
            <w:tcBorders>
              <w:top w:val="nil"/>
              <w:left w:val="single" w:sz="4" w:color="000000"/>
              <w:bottom w:val="nil"/>
              <w:right w:val="nil"/>
            </w:tcBorders>
          </w:tcPr>
          <w:p>
            <w:r/>
            <w:r>
              <w:rPr>
                <w:rFonts w:ascii="Calibri" w:hAnsi="Calibri"/>
                <w:b/>
                <w:i w:val="0"/>
                <w:color w:val="595959"/>
                <w:sz w:val="22"/>
              </w:rPr>
              <w:t>2.1 Applicability</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Оваа СОП се применува на сите домашни копнени движења на опојни дроги на Пјурли Плант ДООЕЛ Скопје, извршени од договорна, овластена обезбедувачка компанија: (1) готов производ (сув цвет од канабис) и меѓупроизвод (ринфуз/мелена дрога) до домашни примачи со дозвола; (2) мостри за контрола на квалитет до договорни надворешни лаборатории (UKIM FF — Центар за природни производи, Институт за јавно здравје, Фармахем и други лаборатории од листата на одобрени добавувачи); (3) пропагационен материјал (клонови и семе) меѓу локации; (4) последната делница по царинско ослободување до локацијата; и (5) отпад од канабис до овластено место за уништување.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This SOP applies to all domestic inland movements of narcotic drugs by Purely Plant DOOEL Skopje performed by a contracted, authorised security company: (1) finished product (dried cannabis flower) and intermediate (bulk/milled herb) to licensed domestic consignees; (2) quality-control samples to contracted external laboratories (UKIM FF — Centre for Natural Products, Institute of Public Health, Farmahem and other laboratories on the approved supplier list); (3) propagation material (clones and seeds) between sites; (4) the final leg after customs clearance to the site; and (5) cannabis waste to an authorised destruction site.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Процедурата ги опфаќа: планирањето и процената на ризик, регулаторните известувања, пакувањето и означувањето, отпремата и ланецот на надзор, контролата во транзит, приемот, порамнувањето, известувањето по транспортот, архивирањето и управувањето со отстапувања.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procedure covers: planning and risk assessment, regulatory notifications, packaging and labelling, dispatch and chain of custody, in-transit control, receipt, reconciliation, post-transport notification, archiving and deviation management.</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2.2 Исклучоци</w:t>
            </w:r>
          </w:p>
        </w:tc>
        <w:tc>
          <w:tcPr>
            <w:tcW w:type="dxa" w:w="5102"/>
            <w:tcBorders>
              <w:top w:val="nil"/>
              <w:left w:val="single" w:sz="4" w:color="000000"/>
              <w:bottom w:val="nil"/>
              <w:right w:val="nil"/>
            </w:tcBorders>
          </w:tcPr>
          <w:p>
            <w:r/>
            <w:r>
              <w:rPr>
                <w:rFonts w:ascii="Calibri" w:hAnsi="Calibri"/>
                <w:b/>
                <w:i w:val="0"/>
                <w:color w:val="595959"/>
                <w:sz w:val="22"/>
              </w:rPr>
              <w:t>2.2 Exclusions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Оваа СОП не ги опфаќа: увозот и извозот (вклучително авио-транспорт и постапката во царински магацин), кои се регулирани со WHSOP_002; интерното движење на материјали во рамките на локацијата (WHSOP 001); самото земање мостри (QCSOP 011); и валидацијата на транспортните рути, возила и пакувања, која е регулирана со QASOP_0XX.</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This SOP does not cover: import and export (including air freight and the bonded-warehouse procedure), governed by WHSOP_002; internal movement of materials within the site (WHSOP 001); the sampling itself (QCSOP 011); and the validation of transport lanes, vehicles and packaging, governed by QASOP_0XX.</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2.3 Идно проширување</w:t>
            </w:r>
          </w:p>
        </w:tc>
        <w:tc>
          <w:tcPr>
            <w:tcW w:type="dxa" w:w="5102"/>
            <w:tcBorders>
              <w:top w:val="nil"/>
              <w:left w:val="single" w:sz="4" w:color="000000"/>
              <w:bottom w:val="nil"/>
              <w:right w:val="nil"/>
            </w:tcBorders>
          </w:tcPr>
          <w:p>
            <w:r/>
            <w:r>
              <w:rPr>
                <w:rFonts w:ascii="Calibri" w:hAnsi="Calibri"/>
                <w:b/>
                <w:i w:val="0"/>
                <w:color w:val="595959"/>
                <w:sz w:val="22"/>
              </w:rPr>
              <w:t>2.3 Future Scope Extension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Опсегот може да се прошири на сопствени возила на Пјурли Плант, на нови форми на производ (екстракти, готови дозирани форми) и на нови рути, преку контрола на промени, ревизија на оваа СОП и квалификација на рутата согласно QASOP_0XX пред првата употреба.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scope may be extended to Purely Plant's own vehicles, to new product forms (extracts, finished dosage forms) and to new lanes, through change control, revision of this SOP and qualification of the lane per QASOP_0XX before first use.</w:t>
            </w:r>
          </w:p>
        </w:tc>
      </w:tr>
      <w:tr>
        <w:tc>
          <w:tcPr>
            <w:tcW w:type="dxa" w:w="5102"/>
            <w:shd w:val="clear" w:color="auto" w:fill="E8E8E8"/>
            <w:tcBorders>
              <w:top w:val="nil"/>
              <w:left w:val="nil"/>
              <w:bottom w:val="nil"/>
              <w:right w:val="single" w:sz="4" w:color="000000"/>
            </w:tcBorders>
          </w:tcPr>
          <w:p>
            <w:pPr>
              <w:pStyle w:val="Heading1"/>
            </w:pPr>
            <w:r/>
            <w:r>
              <w:rPr>
                <w:rFonts w:ascii="Calibri" w:hAnsi="Calibri"/>
                <w:b/>
                <w:i w:val="0"/>
                <w:color w:val="000000"/>
                <w:sz w:val="24"/>
              </w:rPr>
              <w:t>3.0 ОДГОВОРНОСТИ</w:t>
            </w:r>
          </w:p>
        </w:tc>
        <w:tc>
          <w:tcPr>
            <w:tcW w:type="dxa" w:w="5102"/>
            <w:shd w:val="clear" w:color="auto" w:fill="E8E8E8"/>
            <w:tcBorders>
              <w:top w:val="nil"/>
              <w:left w:val="single" w:sz="4" w:color="000000"/>
              <w:bottom w:val="nil"/>
              <w:right w:val="nil"/>
            </w:tcBorders>
          </w:tcPr>
          <w:p>
            <w:r/>
            <w:r>
              <w:rPr>
                <w:rFonts w:ascii="Calibri" w:hAnsi="Calibri"/>
                <w:b/>
                <w:i w:val="0"/>
                <w:color w:val="595959"/>
                <w:sz w:val="24"/>
              </w:rPr>
              <w:t>3.0 RESPONSIBILITIES</w:t>
            </w:r>
          </w:p>
        </w:tc>
      </w:tr>
    </w:tbl>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2809"/>
        <w:gridCol w:w="1033"/>
        <w:gridCol w:w="510"/>
        <w:gridCol w:w="1111"/>
        <w:gridCol w:w="1651"/>
        <w:gridCol w:w="1111"/>
        <w:gridCol w:w="1728"/>
        <w:gridCol w:w="510"/>
      </w:tblGrid>
      <w:tr>
        <w:trPr>
          <w:tblHeader w:val="true"/>
        </w:trPr>
        <w:tc>
          <w:tcPr>
            <w:shd w:val="clear" w:color="auto" w:fill="D9E2F3"/>
            <w:tcW w:type="dxa" w:w="2809"/>
          </w:tcPr>
          <w:p>
            <w:r/>
            <w:r>
              <w:rPr>
                <w:rFonts w:ascii="Calibri" w:hAnsi="Calibri"/>
                <w:b/>
                <w:i w:val="0"/>
                <w:color w:val="000000"/>
                <w:sz w:val="22"/>
              </w:rPr>
              <w:t>Активност</w:t>
            </w:r>
            <w:r>
              <w:rPr>
                <w:rFonts w:ascii="Calibri" w:hAnsi="Calibri"/>
                <w:b w:val="0"/>
                <w:i w:val="0"/>
                <w:color w:val="000000"/>
                <w:sz w:val="14"/>
              </w:rPr>
              <w:t xml:space="preserve"> | </w:t>
            </w:r>
            <w:r>
              <w:rPr>
                <w:rFonts w:ascii="Calibri" w:hAnsi="Calibri"/>
                <w:b/>
                <w:i w:val="0"/>
                <w:color w:val="000000"/>
                <w:sz w:val="14"/>
              </w:rPr>
              <w:t>Activity</w:t>
            </w:r>
          </w:p>
        </w:tc>
        <w:tc>
          <w:tcPr>
            <w:shd w:val="clear" w:color="auto" w:fill="D9E2F3"/>
            <w:tcW w:type="dxa" w:w="1033"/>
          </w:tcPr>
          <w:p>
            <w:r/>
            <w:r>
              <w:rPr>
                <w:rFonts w:ascii="Calibri" w:hAnsi="Calibri"/>
                <w:b/>
                <w:i w:val="0"/>
                <w:color w:val="000000"/>
                <w:sz w:val="22"/>
              </w:rPr>
              <w:t>Раководител КК</w:t>
            </w:r>
            <w:r>
              <w:rPr>
                <w:rFonts w:ascii="Calibri" w:hAnsi="Calibri"/>
                <w:b w:val="0"/>
                <w:i w:val="0"/>
                <w:color w:val="000000"/>
                <w:sz w:val="14"/>
              </w:rPr>
              <w:t xml:space="preserve"> | </w:t>
            </w:r>
            <w:r>
              <w:rPr>
                <w:rFonts w:ascii="Calibri" w:hAnsi="Calibri"/>
                <w:b/>
                <w:i w:val="0"/>
                <w:color w:val="000000"/>
                <w:sz w:val="14"/>
              </w:rPr>
              <w:t>QC Head</w:t>
            </w:r>
          </w:p>
        </w:tc>
        <w:tc>
          <w:tcPr>
            <w:shd w:val="clear" w:color="auto" w:fill="D9E2F3"/>
            <w:tcW w:type="dxa" w:w="510"/>
          </w:tcPr>
          <w:p>
            <w:r/>
            <w:r>
              <w:rPr>
                <w:rFonts w:ascii="Calibri" w:hAnsi="Calibri"/>
                <w:b/>
                <w:i w:val="0"/>
                <w:color w:val="000000"/>
                <w:sz w:val="22"/>
              </w:rPr>
              <w:t>QA</w:t>
            </w:r>
            <w:r>
              <w:rPr>
                <w:rFonts w:ascii="Calibri" w:hAnsi="Calibri"/>
                <w:b/>
                <w:i w:val="0"/>
                <w:color w:val="000000"/>
                <w:sz w:val="14"/>
              </w:rPr>
            </w:r>
          </w:p>
        </w:tc>
        <w:tc>
          <w:tcPr>
            <w:shd w:val="clear" w:color="auto" w:fill="D9E2F3"/>
            <w:tcW w:type="dxa" w:w="1111"/>
          </w:tcPr>
          <w:p>
            <w:r/>
            <w:r>
              <w:rPr>
                <w:rFonts w:ascii="Calibri" w:hAnsi="Calibri"/>
                <w:b/>
                <w:i w:val="0"/>
                <w:color w:val="000000"/>
                <w:sz w:val="22"/>
              </w:rPr>
              <w:t>Обезбедување</w:t>
            </w:r>
            <w:r>
              <w:rPr>
                <w:rFonts w:ascii="Calibri" w:hAnsi="Calibri"/>
                <w:b w:val="0"/>
                <w:i w:val="0"/>
                <w:color w:val="000000"/>
                <w:sz w:val="14"/>
              </w:rPr>
              <w:t xml:space="preserve"> | </w:t>
            </w:r>
            <w:r>
              <w:rPr>
                <w:rFonts w:ascii="Calibri" w:hAnsi="Calibri"/>
                <w:b/>
                <w:i w:val="0"/>
                <w:color w:val="000000"/>
                <w:sz w:val="14"/>
              </w:rPr>
              <w:t>Security</w:t>
            </w:r>
          </w:p>
        </w:tc>
        <w:tc>
          <w:tcPr>
            <w:shd w:val="clear" w:color="auto" w:fill="D9E2F3"/>
            <w:tcW w:type="dxa" w:w="1651"/>
          </w:tcPr>
          <w:p>
            <w:r/>
            <w:r>
              <w:rPr>
                <w:rFonts w:ascii="Calibri" w:hAnsi="Calibri"/>
                <w:b/>
                <w:i w:val="0"/>
                <w:color w:val="000000"/>
                <w:sz w:val="22"/>
              </w:rPr>
              <w:t>Магацин/Логистика</w:t>
            </w:r>
            <w:r>
              <w:rPr>
                <w:rFonts w:ascii="Calibri" w:hAnsi="Calibri"/>
                <w:b w:val="0"/>
                <w:i w:val="0"/>
                <w:color w:val="000000"/>
                <w:sz w:val="14"/>
              </w:rPr>
              <w:t xml:space="preserve"> | </w:t>
            </w:r>
            <w:r>
              <w:rPr>
                <w:rFonts w:ascii="Calibri" w:hAnsi="Calibri"/>
                <w:b/>
                <w:i w:val="0"/>
                <w:color w:val="000000"/>
                <w:sz w:val="14"/>
              </w:rPr>
              <w:t>Warehouse/Logistics</w:t>
            </w:r>
          </w:p>
        </w:tc>
        <w:tc>
          <w:tcPr>
            <w:shd w:val="clear" w:color="auto" w:fill="D9E2F3"/>
            <w:tcW w:type="dxa" w:w="1111"/>
          </w:tcPr>
          <w:p>
            <w:r/>
            <w:r>
              <w:rPr>
                <w:rFonts w:ascii="Calibri" w:hAnsi="Calibri"/>
                <w:b/>
                <w:i w:val="0"/>
                <w:color w:val="000000"/>
                <w:sz w:val="22"/>
              </w:rPr>
              <w:t>Договорно обезбедување</w:t>
            </w:r>
            <w:r>
              <w:rPr>
                <w:rFonts w:ascii="Calibri" w:hAnsi="Calibri"/>
                <w:b w:val="0"/>
                <w:i w:val="0"/>
                <w:color w:val="000000"/>
                <w:sz w:val="14"/>
              </w:rPr>
              <w:t xml:space="preserve"> | </w:t>
            </w:r>
            <w:r>
              <w:rPr>
                <w:rFonts w:ascii="Calibri" w:hAnsi="Calibri"/>
                <w:b/>
                <w:i w:val="0"/>
                <w:color w:val="000000"/>
                <w:sz w:val="14"/>
              </w:rPr>
              <w:t>Contracted security</w:t>
            </w:r>
          </w:p>
        </w:tc>
        <w:tc>
          <w:tcPr>
            <w:shd w:val="clear" w:color="auto" w:fill="D9E2F3"/>
            <w:tcW w:type="dxa" w:w="1728"/>
          </w:tcPr>
          <w:p>
            <w:r/>
            <w:r>
              <w:rPr>
                <w:rFonts w:ascii="Calibri" w:hAnsi="Calibri"/>
                <w:b/>
                <w:i w:val="0"/>
                <w:color w:val="000000"/>
                <w:sz w:val="22"/>
              </w:rPr>
              <w:t>Примач/Лабораторија</w:t>
            </w:r>
            <w:r>
              <w:rPr>
                <w:rFonts w:ascii="Calibri" w:hAnsi="Calibri"/>
                <w:b w:val="0"/>
                <w:i w:val="0"/>
                <w:color w:val="000000"/>
                <w:sz w:val="14"/>
              </w:rPr>
              <w:t xml:space="preserve"> | </w:t>
            </w:r>
            <w:r>
              <w:rPr>
                <w:rFonts w:ascii="Calibri" w:hAnsi="Calibri"/>
                <w:b/>
                <w:i w:val="0"/>
                <w:color w:val="000000"/>
                <w:sz w:val="14"/>
              </w:rPr>
              <w:t>Consignee/Laboratory</w:t>
            </w:r>
          </w:p>
        </w:tc>
        <w:tc>
          <w:tcPr>
            <w:shd w:val="clear" w:color="auto" w:fill="D9E2F3"/>
            <w:tcW w:type="dxa" w:w="510"/>
          </w:tcPr>
          <w:p>
            <w:r/>
            <w:r>
              <w:rPr>
                <w:rFonts w:ascii="Calibri" w:hAnsi="Calibri"/>
                <w:b/>
                <w:i w:val="0"/>
                <w:color w:val="000000"/>
                <w:sz w:val="22"/>
              </w:rPr>
              <w:t>QP</w:t>
            </w:r>
            <w:r>
              <w:rPr>
                <w:rFonts w:ascii="Calibri" w:hAnsi="Calibri"/>
                <w:b/>
                <w:i w:val="0"/>
                <w:color w:val="000000"/>
                <w:sz w:val="14"/>
              </w:rPr>
            </w:r>
          </w:p>
        </w:tc>
      </w:tr>
      <w:tr>
        <w:tc>
          <w:tcPr>
            <w:tcW w:type="dxa" w:w="2809"/>
          </w:tcPr>
          <w:p>
            <w:r/>
            <w:r>
              <w:rPr>
                <w:rFonts w:ascii="Calibri" w:hAnsi="Calibri"/>
                <w:b w:val="0"/>
                <w:i w:val="0"/>
                <w:color w:val="000000"/>
                <w:sz w:val="22"/>
              </w:rPr>
              <w:t>Планирање и TRA</w:t>
            </w:r>
            <w:r>
              <w:rPr>
                <w:rFonts w:ascii="Calibri" w:hAnsi="Calibri"/>
                <w:b w:val="0"/>
                <w:i w:val="0"/>
                <w:color w:val="000000"/>
                <w:sz w:val="14"/>
              </w:rPr>
              <w:t xml:space="preserve"> | </w:t>
            </w:r>
            <w:r>
              <w:rPr>
                <w:rFonts w:ascii="Calibri" w:hAnsi="Calibri"/>
                <w:b w:val="0"/>
                <w:i w:val="0"/>
                <w:color w:val="000000"/>
                <w:sz w:val="14"/>
              </w:rPr>
              <w:t>Planning and TRA</w:t>
            </w:r>
          </w:p>
        </w:tc>
        <w:tc>
          <w:tcPr>
            <w:tcW w:type="dxa" w:w="1033"/>
          </w:tcPr>
          <w:p>
            <w:r/>
            <w:r>
              <w:rPr>
                <w:rFonts w:ascii="Calibri" w:hAnsi="Calibri"/>
                <w:b w:val="0"/>
                <w:i w:val="0"/>
                <w:color w:val="000000"/>
                <w:sz w:val="22"/>
              </w:rPr>
              <w:t>C</w:t>
            </w:r>
            <w:r>
              <w:rPr>
                <w:rFonts w:ascii="Calibri" w:hAnsi="Calibri"/>
                <w:b w:val="0"/>
                <w:i w:val="0"/>
                <w:color w:val="000000"/>
                <w:sz w:val="14"/>
              </w:rPr>
            </w:r>
          </w:p>
        </w:tc>
        <w:tc>
          <w:tcPr>
            <w:tcW w:type="dxa" w:w="510"/>
          </w:tcPr>
          <w:p>
            <w:r/>
            <w:r>
              <w:rPr>
                <w:rFonts w:ascii="Calibri" w:hAnsi="Calibri"/>
                <w:b w:val="0"/>
                <w:i w:val="0"/>
                <w:color w:val="000000"/>
                <w:sz w:val="22"/>
              </w:rPr>
              <w:t>A</w:t>
            </w:r>
            <w:r>
              <w:rPr>
                <w:rFonts w:ascii="Calibri" w:hAnsi="Calibri"/>
                <w:b w:val="0"/>
                <w:i w:val="0"/>
                <w:color w:val="000000"/>
                <w:sz w:val="14"/>
              </w:rPr>
            </w:r>
          </w:p>
        </w:tc>
        <w:tc>
          <w:tcPr>
            <w:tcW w:type="dxa" w:w="1111"/>
          </w:tcPr>
          <w:p>
            <w:r/>
            <w:r>
              <w:rPr>
                <w:rFonts w:ascii="Calibri" w:hAnsi="Calibri"/>
                <w:b w:val="0"/>
                <w:i w:val="0"/>
                <w:color w:val="000000"/>
                <w:sz w:val="22"/>
              </w:rPr>
              <w:t>R</w:t>
            </w:r>
            <w:r>
              <w:rPr>
                <w:rFonts w:ascii="Calibri" w:hAnsi="Calibri"/>
                <w:b w:val="0"/>
                <w:i w:val="0"/>
                <w:color w:val="000000"/>
                <w:sz w:val="14"/>
              </w:rPr>
            </w:r>
          </w:p>
        </w:tc>
        <w:tc>
          <w:tcPr>
            <w:tcW w:type="dxa" w:w="1651"/>
          </w:tcPr>
          <w:p>
            <w:r/>
            <w:r>
              <w:rPr>
                <w:rFonts w:ascii="Calibri" w:hAnsi="Calibri"/>
                <w:b w:val="0"/>
                <w:i w:val="0"/>
                <w:color w:val="000000"/>
                <w:sz w:val="22"/>
              </w:rPr>
              <w:t>R</w:t>
            </w:r>
            <w:r>
              <w:rPr>
                <w:rFonts w:ascii="Calibri" w:hAnsi="Calibri"/>
                <w:b w:val="0"/>
                <w:i w:val="0"/>
                <w:color w:val="000000"/>
                <w:sz w:val="14"/>
              </w:rPr>
            </w:r>
          </w:p>
        </w:tc>
        <w:tc>
          <w:tcPr>
            <w:tcW w:type="dxa" w:w="1111"/>
          </w:tcPr>
          <w:p>
            <w:r/>
            <w:r>
              <w:rPr>
                <w:rFonts w:ascii="Calibri" w:hAnsi="Calibri"/>
                <w:b w:val="0"/>
                <w:i w:val="0"/>
                <w:color w:val="000000"/>
                <w:sz w:val="22"/>
              </w:rPr>
              <w:t>I</w:t>
            </w:r>
            <w:r>
              <w:rPr>
                <w:rFonts w:ascii="Calibri" w:hAnsi="Calibri"/>
                <w:b w:val="0"/>
                <w:i w:val="0"/>
                <w:color w:val="000000"/>
                <w:sz w:val="14"/>
              </w:rPr>
            </w:r>
          </w:p>
        </w:tc>
        <w:tc>
          <w:tcPr>
            <w:tcW w:type="dxa" w:w="1728"/>
          </w:tcPr>
          <w:p>
            <w:r/>
            <w:r>
              <w:rPr>
                <w:rFonts w:ascii="Calibri" w:hAnsi="Calibri"/>
                <w:b w:val="0"/>
                <w:i w:val="0"/>
                <w:color w:val="000000"/>
                <w:sz w:val="22"/>
              </w:rPr>
              <w:t>I</w:t>
            </w:r>
            <w:r>
              <w:rPr>
                <w:rFonts w:ascii="Calibri" w:hAnsi="Calibri"/>
                <w:b w:val="0"/>
                <w:i w:val="0"/>
                <w:color w:val="000000"/>
                <w:sz w:val="14"/>
              </w:rPr>
            </w:r>
          </w:p>
        </w:tc>
        <w:tc>
          <w:tcPr>
            <w:tcW w:type="dxa" w:w="510"/>
          </w:tcPr>
          <w:p>
            <w:r/>
            <w:r>
              <w:rPr>
                <w:rFonts w:ascii="Calibri" w:hAnsi="Calibri"/>
                <w:b w:val="0"/>
                <w:i w:val="0"/>
                <w:color w:val="000000"/>
                <w:sz w:val="22"/>
              </w:rPr>
              <w:t>I</w:t>
            </w:r>
            <w:r>
              <w:rPr>
                <w:rFonts w:ascii="Calibri" w:hAnsi="Calibri"/>
                <w:b w:val="0"/>
                <w:i w:val="0"/>
                <w:color w:val="000000"/>
                <w:sz w:val="14"/>
              </w:rPr>
            </w:r>
          </w:p>
        </w:tc>
      </w:tr>
      <w:tr>
        <w:tc>
          <w:tcPr>
            <w:tcW w:type="dxa" w:w="2809"/>
          </w:tcPr>
          <w:p>
            <w:r/>
            <w:r>
              <w:rPr>
                <w:rFonts w:ascii="Calibri" w:hAnsi="Calibri"/>
                <w:b w:val="0"/>
                <w:i w:val="0"/>
                <w:color w:val="000000"/>
                <w:sz w:val="22"/>
              </w:rPr>
              <w:t>Известување до МВР</w:t>
            </w:r>
            <w:r>
              <w:rPr>
                <w:rFonts w:ascii="Calibri" w:hAnsi="Calibri"/>
                <w:b w:val="0"/>
                <w:i w:val="0"/>
                <w:color w:val="000000"/>
                <w:sz w:val="14"/>
              </w:rPr>
              <w:t xml:space="preserve"> | </w:t>
            </w:r>
            <w:r>
              <w:rPr>
                <w:rFonts w:ascii="Calibri" w:hAnsi="Calibri"/>
                <w:b w:val="0"/>
                <w:i w:val="0"/>
                <w:color w:val="000000"/>
                <w:sz w:val="14"/>
              </w:rPr>
              <w:t>MoIA notification</w:t>
            </w:r>
          </w:p>
        </w:tc>
        <w:tc>
          <w:tcPr>
            <w:tcW w:type="dxa" w:w="1033"/>
          </w:tcPr>
          <w:p>
            <w:r/>
            <w:r>
              <w:rPr>
                <w:rFonts w:ascii="Calibri" w:hAnsi="Calibri"/>
                <w:b w:val="0"/>
                <w:i w:val="0"/>
                <w:color w:val="000000"/>
                <w:sz w:val="22"/>
              </w:rPr>
              <w:t>I</w:t>
            </w:r>
            <w:r>
              <w:rPr>
                <w:rFonts w:ascii="Calibri" w:hAnsi="Calibri"/>
                <w:b w:val="0"/>
                <w:i w:val="0"/>
                <w:color w:val="000000"/>
                <w:sz w:val="14"/>
              </w:rPr>
            </w:r>
          </w:p>
        </w:tc>
        <w:tc>
          <w:tcPr>
            <w:tcW w:type="dxa" w:w="510"/>
          </w:tcPr>
          <w:p>
            <w:r/>
            <w:r>
              <w:rPr>
                <w:rFonts w:ascii="Calibri" w:hAnsi="Calibri"/>
                <w:b w:val="0"/>
                <w:i w:val="0"/>
                <w:color w:val="000000"/>
                <w:sz w:val="22"/>
              </w:rPr>
              <w:t>C</w:t>
            </w:r>
            <w:r>
              <w:rPr>
                <w:rFonts w:ascii="Calibri" w:hAnsi="Calibri"/>
                <w:b w:val="0"/>
                <w:i w:val="0"/>
                <w:color w:val="000000"/>
                <w:sz w:val="14"/>
              </w:rPr>
            </w:r>
          </w:p>
        </w:tc>
        <w:tc>
          <w:tcPr>
            <w:tcW w:type="dxa" w:w="1111"/>
          </w:tcPr>
          <w:p>
            <w:r/>
            <w:r>
              <w:rPr>
                <w:rFonts w:ascii="Calibri" w:hAnsi="Calibri"/>
                <w:b w:val="0"/>
                <w:i w:val="0"/>
                <w:color w:val="000000"/>
                <w:sz w:val="22"/>
              </w:rPr>
              <w:t>A/R</w:t>
            </w:r>
            <w:r>
              <w:rPr>
                <w:rFonts w:ascii="Calibri" w:hAnsi="Calibri"/>
                <w:b w:val="0"/>
                <w:i w:val="0"/>
                <w:color w:val="000000"/>
                <w:sz w:val="14"/>
              </w:rPr>
            </w:r>
          </w:p>
        </w:tc>
        <w:tc>
          <w:tcPr>
            <w:tcW w:type="dxa" w:w="1651"/>
          </w:tcPr>
          <w:p>
            <w:r/>
            <w:r>
              <w:rPr>
                <w:rFonts w:ascii="Calibri" w:hAnsi="Calibri"/>
                <w:b w:val="0"/>
                <w:i w:val="0"/>
                <w:color w:val="000000"/>
                <w:sz w:val="22"/>
              </w:rPr>
              <w:t>C</w:t>
            </w:r>
            <w:r>
              <w:rPr>
                <w:rFonts w:ascii="Calibri" w:hAnsi="Calibri"/>
                <w:b w:val="0"/>
                <w:i w:val="0"/>
                <w:color w:val="000000"/>
                <w:sz w:val="14"/>
              </w:rPr>
            </w:r>
          </w:p>
        </w:tc>
        <w:tc>
          <w:tcPr>
            <w:tcW w:type="dxa" w:w="1111"/>
          </w:tcPr>
          <w:p>
            <w:r/>
            <w:r>
              <w:rPr>
                <w:rFonts w:ascii="Calibri" w:hAnsi="Calibri"/>
                <w:b w:val="0"/>
                <w:i w:val="0"/>
                <w:color w:val="000000"/>
                <w:sz w:val="22"/>
              </w:rPr>
              <w:t>I</w:t>
            </w:r>
            <w:r>
              <w:rPr>
                <w:rFonts w:ascii="Calibri" w:hAnsi="Calibri"/>
                <w:b w:val="0"/>
                <w:i w:val="0"/>
                <w:color w:val="000000"/>
                <w:sz w:val="14"/>
              </w:rPr>
            </w:r>
          </w:p>
        </w:tc>
        <w:tc>
          <w:tcPr>
            <w:tcW w:type="dxa" w:w="1728"/>
          </w:tcPr>
          <w:p>
            <w:r/>
            <w:r>
              <w:rPr>
                <w:rFonts w:ascii="Calibri" w:hAnsi="Calibri"/>
                <w:b w:val="0"/>
                <w:i w:val="0"/>
                <w:color w:val="000000"/>
                <w:sz w:val="22"/>
              </w:rPr>
              <w:t>—</w:t>
            </w:r>
            <w:r>
              <w:rPr>
                <w:rFonts w:ascii="Calibri" w:hAnsi="Calibri"/>
                <w:b w:val="0"/>
                <w:i w:val="0"/>
                <w:color w:val="000000"/>
                <w:sz w:val="14"/>
              </w:rPr>
            </w:r>
          </w:p>
        </w:tc>
        <w:tc>
          <w:tcPr>
            <w:tcW w:type="dxa" w:w="510"/>
          </w:tcPr>
          <w:p>
            <w:r/>
            <w:r>
              <w:rPr>
                <w:rFonts w:ascii="Calibri" w:hAnsi="Calibri"/>
                <w:b w:val="0"/>
                <w:i w:val="0"/>
                <w:color w:val="000000"/>
                <w:sz w:val="22"/>
              </w:rPr>
              <w:t>I</w:t>
            </w:r>
            <w:r>
              <w:rPr>
                <w:rFonts w:ascii="Calibri" w:hAnsi="Calibri"/>
                <w:b w:val="0"/>
                <w:i w:val="0"/>
                <w:color w:val="000000"/>
                <w:sz w:val="14"/>
              </w:rPr>
            </w:r>
          </w:p>
        </w:tc>
      </w:tr>
      <w:tr>
        <w:tc>
          <w:tcPr>
            <w:tcW w:type="dxa" w:w="2809"/>
          </w:tcPr>
          <w:p>
            <w:r/>
            <w:r>
              <w:rPr>
                <w:rFonts w:ascii="Calibri" w:hAnsi="Calibri"/>
                <w:b w:val="0"/>
                <w:i w:val="0"/>
                <w:color w:val="000000"/>
                <w:sz w:val="22"/>
              </w:rPr>
              <w:t>Известување до обезбедувањето</w:t>
            </w:r>
            <w:r>
              <w:rPr>
                <w:rFonts w:ascii="Calibri" w:hAnsi="Calibri"/>
                <w:b w:val="0"/>
                <w:i w:val="0"/>
                <w:color w:val="000000"/>
                <w:sz w:val="14"/>
              </w:rPr>
              <w:t xml:space="preserve"> | </w:t>
            </w:r>
            <w:r>
              <w:rPr>
                <w:rFonts w:ascii="Calibri" w:hAnsi="Calibri"/>
                <w:b w:val="0"/>
                <w:i w:val="0"/>
                <w:color w:val="000000"/>
                <w:sz w:val="14"/>
              </w:rPr>
              <w:t>Security company notification</w:t>
            </w:r>
          </w:p>
        </w:tc>
        <w:tc>
          <w:tcPr>
            <w:tcW w:type="dxa" w:w="1033"/>
          </w:tcPr>
          <w:p>
            <w:r/>
            <w:r>
              <w:rPr>
                <w:rFonts w:ascii="Calibri" w:hAnsi="Calibri"/>
                <w:b w:val="0"/>
                <w:i w:val="0"/>
                <w:color w:val="000000"/>
                <w:sz w:val="22"/>
              </w:rPr>
              <w:t>I</w:t>
            </w:r>
            <w:r>
              <w:rPr>
                <w:rFonts w:ascii="Calibri" w:hAnsi="Calibri"/>
                <w:b w:val="0"/>
                <w:i w:val="0"/>
                <w:color w:val="000000"/>
                <w:sz w:val="14"/>
              </w:rPr>
            </w:r>
          </w:p>
        </w:tc>
        <w:tc>
          <w:tcPr>
            <w:tcW w:type="dxa" w:w="510"/>
          </w:tcPr>
          <w:p>
            <w:r/>
            <w:r>
              <w:rPr>
                <w:rFonts w:ascii="Calibri" w:hAnsi="Calibri"/>
                <w:b w:val="0"/>
                <w:i w:val="0"/>
                <w:color w:val="000000"/>
                <w:sz w:val="22"/>
              </w:rPr>
              <w:t>I</w:t>
            </w:r>
            <w:r>
              <w:rPr>
                <w:rFonts w:ascii="Calibri" w:hAnsi="Calibri"/>
                <w:b w:val="0"/>
                <w:i w:val="0"/>
                <w:color w:val="000000"/>
                <w:sz w:val="14"/>
              </w:rPr>
            </w:r>
          </w:p>
        </w:tc>
        <w:tc>
          <w:tcPr>
            <w:tcW w:type="dxa" w:w="1111"/>
          </w:tcPr>
          <w:p>
            <w:r/>
            <w:r>
              <w:rPr>
                <w:rFonts w:ascii="Calibri" w:hAnsi="Calibri"/>
                <w:b w:val="0"/>
                <w:i w:val="0"/>
                <w:color w:val="000000"/>
                <w:sz w:val="22"/>
              </w:rPr>
              <w:t>A/R</w:t>
            </w:r>
            <w:r>
              <w:rPr>
                <w:rFonts w:ascii="Calibri" w:hAnsi="Calibri"/>
                <w:b w:val="0"/>
                <w:i w:val="0"/>
                <w:color w:val="000000"/>
                <w:sz w:val="14"/>
              </w:rPr>
            </w:r>
          </w:p>
        </w:tc>
        <w:tc>
          <w:tcPr>
            <w:tcW w:type="dxa" w:w="1651"/>
          </w:tcPr>
          <w:p>
            <w:r/>
            <w:r>
              <w:rPr>
                <w:rFonts w:ascii="Calibri" w:hAnsi="Calibri"/>
                <w:b w:val="0"/>
                <w:i w:val="0"/>
                <w:color w:val="000000"/>
                <w:sz w:val="22"/>
              </w:rPr>
              <w:t>C</w:t>
            </w:r>
            <w:r>
              <w:rPr>
                <w:rFonts w:ascii="Calibri" w:hAnsi="Calibri"/>
                <w:b w:val="0"/>
                <w:i w:val="0"/>
                <w:color w:val="000000"/>
                <w:sz w:val="14"/>
              </w:rPr>
            </w:r>
          </w:p>
        </w:tc>
        <w:tc>
          <w:tcPr>
            <w:tcW w:type="dxa" w:w="1111"/>
          </w:tcPr>
          <w:p>
            <w:r/>
            <w:r>
              <w:rPr>
                <w:rFonts w:ascii="Calibri" w:hAnsi="Calibri"/>
                <w:b w:val="0"/>
                <w:i w:val="0"/>
                <w:color w:val="000000"/>
                <w:sz w:val="22"/>
              </w:rPr>
              <w:t>R</w:t>
            </w:r>
            <w:r>
              <w:rPr>
                <w:rFonts w:ascii="Calibri" w:hAnsi="Calibri"/>
                <w:b w:val="0"/>
                <w:i w:val="0"/>
                <w:color w:val="000000"/>
                <w:sz w:val="14"/>
              </w:rPr>
            </w:r>
          </w:p>
        </w:tc>
        <w:tc>
          <w:tcPr>
            <w:tcW w:type="dxa" w:w="1728"/>
          </w:tcPr>
          <w:p>
            <w:r/>
            <w:r>
              <w:rPr>
                <w:rFonts w:ascii="Calibri" w:hAnsi="Calibri"/>
                <w:b w:val="0"/>
                <w:i w:val="0"/>
                <w:color w:val="000000"/>
                <w:sz w:val="22"/>
              </w:rPr>
              <w:t>—</w:t>
            </w:r>
            <w:r>
              <w:rPr>
                <w:rFonts w:ascii="Calibri" w:hAnsi="Calibri"/>
                <w:b w:val="0"/>
                <w:i w:val="0"/>
                <w:color w:val="000000"/>
                <w:sz w:val="14"/>
              </w:rPr>
            </w:r>
          </w:p>
        </w:tc>
        <w:tc>
          <w:tcPr>
            <w:tcW w:type="dxa" w:w="510"/>
          </w:tcPr>
          <w:p>
            <w:r/>
            <w:r>
              <w:rPr>
                <w:rFonts w:ascii="Calibri" w:hAnsi="Calibri"/>
                <w:b w:val="0"/>
                <w:i w:val="0"/>
                <w:color w:val="000000"/>
                <w:sz w:val="22"/>
              </w:rPr>
              <w:t>—</w:t>
            </w:r>
            <w:r>
              <w:rPr>
                <w:rFonts w:ascii="Calibri" w:hAnsi="Calibri"/>
                <w:b w:val="0"/>
                <w:i w:val="0"/>
                <w:color w:val="000000"/>
                <w:sz w:val="14"/>
              </w:rPr>
            </w:r>
          </w:p>
        </w:tc>
      </w:tr>
      <w:tr>
        <w:tc>
          <w:tcPr>
            <w:tcW w:type="dxa" w:w="2809"/>
          </w:tcPr>
          <w:p>
            <w:r/>
            <w:r>
              <w:rPr>
                <w:rFonts w:ascii="Calibri" w:hAnsi="Calibri"/>
                <w:b w:val="0"/>
                <w:i w:val="0"/>
                <w:color w:val="000000"/>
                <w:sz w:val="22"/>
              </w:rPr>
              <w:t>Барање за анализа (мостри)</w:t>
            </w:r>
            <w:r>
              <w:rPr>
                <w:rFonts w:ascii="Calibri" w:hAnsi="Calibri"/>
                <w:b w:val="0"/>
                <w:i w:val="0"/>
                <w:color w:val="000000"/>
                <w:sz w:val="14"/>
              </w:rPr>
              <w:t xml:space="preserve"> | </w:t>
            </w:r>
            <w:r>
              <w:rPr>
                <w:rFonts w:ascii="Calibri" w:hAnsi="Calibri"/>
                <w:b w:val="0"/>
                <w:i w:val="0"/>
                <w:color w:val="000000"/>
                <w:sz w:val="14"/>
              </w:rPr>
              <w:t>Request for analysis (samples)</w:t>
            </w:r>
          </w:p>
        </w:tc>
        <w:tc>
          <w:tcPr>
            <w:tcW w:type="dxa" w:w="1033"/>
          </w:tcPr>
          <w:p>
            <w:r/>
            <w:r>
              <w:rPr>
                <w:rFonts w:ascii="Calibri" w:hAnsi="Calibri"/>
                <w:b w:val="0"/>
                <w:i w:val="0"/>
                <w:color w:val="000000"/>
                <w:sz w:val="22"/>
              </w:rPr>
              <w:t>A/R</w:t>
            </w:r>
            <w:r>
              <w:rPr>
                <w:rFonts w:ascii="Calibri" w:hAnsi="Calibri"/>
                <w:b w:val="0"/>
                <w:i w:val="0"/>
                <w:color w:val="000000"/>
                <w:sz w:val="14"/>
              </w:rPr>
            </w:r>
          </w:p>
        </w:tc>
        <w:tc>
          <w:tcPr>
            <w:tcW w:type="dxa" w:w="510"/>
          </w:tcPr>
          <w:p>
            <w:r/>
            <w:r>
              <w:rPr>
                <w:rFonts w:ascii="Calibri" w:hAnsi="Calibri"/>
                <w:b w:val="0"/>
                <w:i w:val="0"/>
                <w:color w:val="000000"/>
                <w:sz w:val="22"/>
              </w:rPr>
              <w:t>C</w:t>
            </w:r>
            <w:r>
              <w:rPr>
                <w:rFonts w:ascii="Calibri" w:hAnsi="Calibri"/>
                <w:b w:val="0"/>
                <w:i w:val="0"/>
                <w:color w:val="000000"/>
                <w:sz w:val="14"/>
              </w:rPr>
            </w:r>
          </w:p>
        </w:tc>
        <w:tc>
          <w:tcPr>
            <w:tcW w:type="dxa" w:w="1111"/>
          </w:tcPr>
          <w:p>
            <w:r/>
            <w:r>
              <w:rPr>
                <w:rFonts w:ascii="Calibri" w:hAnsi="Calibri"/>
                <w:b w:val="0"/>
                <w:i w:val="0"/>
                <w:color w:val="000000"/>
                <w:sz w:val="22"/>
              </w:rPr>
              <w:t>I</w:t>
            </w:r>
            <w:r>
              <w:rPr>
                <w:rFonts w:ascii="Calibri" w:hAnsi="Calibri"/>
                <w:b w:val="0"/>
                <w:i w:val="0"/>
                <w:color w:val="000000"/>
                <w:sz w:val="14"/>
              </w:rPr>
            </w:r>
          </w:p>
        </w:tc>
        <w:tc>
          <w:tcPr>
            <w:tcW w:type="dxa" w:w="1651"/>
          </w:tcPr>
          <w:p>
            <w:r/>
            <w:r>
              <w:rPr>
                <w:rFonts w:ascii="Calibri" w:hAnsi="Calibri"/>
                <w:b w:val="0"/>
                <w:i w:val="0"/>
                <w:color w:val="000000"/>
                <w:sz w:val="22"/>
              </w:rPr>
              <w:t>C</w:t>
            </w:r>
            <w:r>
              <w:rPr>
                <w:rFonts w:ascii="Calibri" w:hAnsi="Calibri"/>
                <w:b w:val="0"/>
                <w:i w:val="0"/>
                <w:color w:val="000000"/>
                <w:sz w:val="14"/>
              </w:rPr>
            </w:r>
          </w:p>
        </w:tc>
        <w:tc>
          <w:tcPr>
            <w:tcW w:type="dxa" w:w="1111"/>
          </w:tcPr>
          <w:p>
            <w:r/>
            <w:r>
              <w:rPr>
                <w:rFonts w:ascii="Calibri" w:hAnsi="Calibri"/>
                <w:b w:val="0"/>
                <w:i w:val="0"/>
                <w:color w:val="000000"/>
                <w:sz w:val="22"/>
              </w:rPr>
              <w:t>—</w:t>
            </w:r>
            <w:r>
              <w:rPr>
                <w:rFonts w:ascii="Calibri" w:hAnsi="Calibri"/>
                <w:b w:val="0"/>
                <w:i w:val="0"/>
                <w:color w:val="000000"/>
                <w:sz w:val="14"/>
              </w:rPr>
            </w:r>
          </w:p>
        </w:tc>
        <w:tc>
          <w:tcPr>
            <w:tcW w:type="dxa" w:w="1728"/>
          </w:tcPr>
          <w:p>
            <w:r/>
            <w:r>
              <w:rPr>
                <w:rFonts w:ascii="Calibri" w:hAnsi="Calibri"/>
                <w:b w:val="0"/>
                <w:i w:val="0"/>
                <w:color w:val="000000"/>
                <w:sz w:val="22"/>
              </w:rPr>
              <w:t>R</w:t>
            </w:r>
            <w:r>
              <w:rPr>
                <w:rFonts w:ascii="Calibri" w:hAnsi="Calibri"/>
                <w:b w:val="0"/>
                <w:i w:val="0"/>
                <w:color w:val="000000"/>
                <w:sz w:val="14"/>
              </w:rPr>
            </w:r>
          </w:p>
        </w:tc>
        <w:tc>
          <w:tcPr>
            <w:tcW w:type="dxa" w:w="510"/>
          </w:tcPr>
          <w:p>
            <w:r/>
            <w:r>
              <w:rPr>
                <w:rFonts w:ascii="Calibri" w:hAnsi="Calibri"/>
                <w:b w:val="0"/>
                <w:i w:val="0"/>
                <w:color w:val="000000"/>
                <w:sz w:val="22"/>
              </w:rPr>
              <w:t>I</w:t>
            </w:r>
            <w:r>
              <w:rPr>
                <w:rFonts w:ascii="Calibri" w:hAnsi="Calibri"/>
                <w:b w:val="0"/>
                <w:i w:val="0"/>
                <w:color w:val="000000"/>
                <w:sz w:val="14"/>
              </w:rPr>
            </w:r>
          </w:p>
        </w:tc>
      </w:tr>
      <w:tr>
        <w:tc>
          <w:tcPr>
            <w:tcW w:type="dxa" w:w="2809"/>
          </w:tcPr>
          <w:p>
            <w:r/>
            <w:r>
              <w:rPr>
                <w:rFonts w:ascii="Calibri" w:hAnsi="Calibri"/>
                <w:b w:val="0"/>
                <w:i w:val="0"/>
                <w:color w:val="000000"/>
                <w:sz w:val="22"/>
              </w:rPr>
              <w:t>Пакување и означување</w:t>
            </w:r>
            <w:r>
              <w:rPr>
                <w:rFonts w:ascii="Calibri" w:hAnsi="Calibri"/>
                <w:b w:val="0"/>
                <w:i w:val="0"/>
                <w:color w:val="000000"/>
                <w:sz w:val="14"/>
              </w:rPr>
              <w:t xml:space="preserve"> | </w:t>
            </w:r>
            <w:r>
              <w:rPr>
                <w:rFonts w:ascii="Calibri" w:hAnsi="Calibri"/>
                <w:b w:val="0"/>
                <w:i w:val="0"/>
                <w:color w:val="000000"/>
                <w:sz w:val="14"/>
              </w:rPr>
              <w:t>Packaging and labelling</w:t>
            </w:r>
          </w:p>
        </w:tc>
        <w:tc>
          <w:tcPr>
            <w:tcW w:type="dxa" w:w="1033"/>
          </w:tcPr>
          <w:p>
            <w:r/>
            <w:r>
              <w:rPr>
                <w:rFonts w:ascii="Calibri" w:hAnsi="Calibri"/>
                <w:b w:val="0"/>
                <w:i w:val="0"/>
                <w:color w:val="000000"/>
                <w:sz w:val="22"/>
              </w:rPr>
              <w:t>C</w:t>
            </w:r>
            <w:r>
              <w:rPr>
                <w:rFonts w:ascii="Calibri" w:hAnsi="Calibri"/>
                <w:b w:val="0"/>
                <w:i w:val="0"/>
                <w:color w:val="000000"/>
                <w:sz w:val="14"/>
              </w:rPr>
            </w:r>
          </w:p>
        </w:tc>
        <w:tc>
          <w:tcPr>
            <w:tcW w:type="dxa" w:w="510"/>
          </w:tcPr>
          <w:p>
            <w:r/>
            <w:r>
              <w:rPr>
                <w:rFonts w:ascii="Calibri" w:hAnsi="Calibri"/>
                <w:b w:val="0"/>
                <w:i w:val="0"/>
                <w:color w:val="000000"/>
                <w:sz w:val="22"/>
              </w:rPr>
              <w:t>I</w:t>
            </w:r>
            <w:r>
              <w:rPr>
                <w:rFonts w:ascii="Calibri" w:hAnsi="Calibri"/>
                <w:b w:val="0"/>
                <w:i w:val="0"/>
                <w:color w:val="000000"/>
                <w:sz w:val="14"/>
              </w:rPr>
            </w:r>
          </w:p>
        </w:tc>
        <w:tc>
          <w:tcPr>
            <w:tcW w:type="dxa" w:w="1111"/>
          </w:tcPr>
          <w:p>
            <w:r/>
            <w:r>
              <w:rPr>
                <w:rFonts w:ascii="Calibri" w:hAnsi="Calibri"/>
                <w:b w:val="0"/>
                <w:i w:val="0"/>
                <w:color w:val="000000"/>
                <w:sz w:val="22"/>
              </w:rPr>
              <w:t>C</w:t>
            </w:r>
            <w:r>
              <w:rPr>
                <w:rFonts w:ascii="Calibri" w:hAnsi="Calibri"/>
                <w:b w:val="0"/>
                <w:i w:val="0"/>
                <w:color w:val="000000"/>
                <w:sz w:val="14"/>
              </w:rPr>
            </w:r>
          </w:p>
        </w:tc>
        <w:tc>
          <w:tcPr>
            <w:tcW w:type="dxa" w:w="1651"/>
          </w:tcPr>
          <w:p>
            <w:r/>
            <w:r>
              <w:rPr>
                <w:rFonts w:ascii="Calibri" w:hAnsi="Calibri"/>
                <w:b w:val="0"/>
                <w:i w:val="0"/>
                <w:color w:val="000000"/>
                <w:sz w:val="22"/>
              </w:rPr>
              <w:t>A/R</w:t>
            </w:r>
            <w:r>
              <w:rPr>
                <w:rFonts w:ascii="Calibri" w:hAnsi="Calibri"/>
                <w:b w:val="0"/>
                <w:i w:val="0"/>
                <w:color w:val="000000"/>
                <w:sz w:val="14"/>
              </w:rPr>
            </w:r>
          </w:p>
        </w:tc>
        <w:tc>
          <w:tcPr>
            <w:tcW w:type="dxa" w:w="1111"/>
          </w:tcPr>
          <w:p>
            <w:r/>
            <w:r>
              <w:rPr>
                <w:rFonts w:ascii="Calibri" w:hAnsi="Calibri"/>
                <w:b w:val="0"/>
                <w:i w:val="0"/>
                <w:color w:val="000000"/>
                <w:sz w:val="22"/>
              </w:rPr>
              <w:t>—</w:t>
            </w:r>
            <w:r>
              <w:rPr>
                <w:rFonts w:ascii="Calibri" w:hAnsi="Calibri"/>
                <w:b w:val="0"/>
                <w:i w:val="0"/>
                <w:color w:val="000000"/>
                <w:sz w:val="14"/>
              </w:rPr>
            </w:r>
          </w:p>
        </w:tc>
        <w:tc>
          <w:tcPr>
            <w:tcW w:type="dxa" w:w="1728"/>
          </w:tcPr>
          <w:p>
            <w:r/>
            <w:r>
              <w:rPr>
                <w:rFonts w:ascii="Calibri" w:hAnsi="Calibri"/>
                <w:b w:val="0"/>
                <w:i w:val="0"/>
                <w:color w:val="000000"/>
                <w:sz w:val="22"/>
              </w:rPr>
              <w:t>—</w:t>
            </w:r>
            <w:r>
              <w:rPr>
                <w:rFonts w:ascii="Calibri" w:hAnsi="Calibri"/>
                <w:b w:val="0"/>
                <w:i w:val="0"/>
                <w:color w:val="000000"/>
                <w:sz w:val="14"/>
              </w:rPr>
            </w:r>
          </w:p>
        </w:tc>
        <w:tc>
          <w:tcPr>
            <w:tcW w:type="dxa" w:w="510"/>
          </w:tcPr>
          <w:p>
            <w:r/>
            <w:r>
              <w:rPr>
                <w:rFonts w:ascii="Calibri" w:hAnsi="Calibri"/>
                <w:b w:val="0"/>
                <w:i w:val="0"/>
                <w:color w:val="000000"/>
                <w:sz w:val="22"/>
              </w:rPr>
              <w:t>—</w:t>
            </w:r>
            <w:r>
              <w:rPr>
                <w:rFonts w:ascii="Calibri" w:hAnsi="Calibri"/>
                <w:b w:val="0"/>
                <w:i w:val="0"/>
                <w:color w:val="000000"/>
                <w:sz w:val="14"/>
              </w:rPr>
            </w:r>
          </w:p>
        </w:tc>
      </w:tr>
      <w:tr>
        <w:tc>
          <w:tcPr>
            <w:tcW w:type="dxa" w:w="2809"/>
          </w:tcPr>
          <w:p>
            <w:r/>
            <w:r>
              <w:rPr>
                <w:rFonts w:ascii="Calibri" w:hAnsi="Calibri"/>
                <w:b w:val="0"/>
                <w:i w:val="0"/>
                <w:color w:val="000000"/>
                <w:sz w:val="22"/>
              </w:rPr>
              <w:t>Отпрема и ланец на надзор</w:t>
            </w:r>
            <w:r>
              <w:rPr>
                <w:rFonts w:ascii="Calibri" w:hAnsi="Calibri"/>
                <w:b w:val="0"/>
                <w:i w:val="0"/>
                <w:color w:val="000000"/>
                <w:sz w:val="14"/>
              </w:rPr>
              <w:t xml:space="preserve"> | </w:t>
            </w:r>
            <w:r>
              <w:rPr>
                <w:rFonts w:ascii="Calibri" w:hAnsi="Calibri"/>
                <w:b w:val="0"/>
                <w:i w:val="0"/>
                <w:color w:val="000000"/>
                <w:sz w:val="14"/>
              </w:rPr>
              <w:t>Dispatch and chain of custody</w:t>
            </w:r>
          </w:p>
        </w:tc>
        <w:tc>
          <w:tcPr>
            <w:tcW w:type="dxa" w:w="1033"/>
          </w:tcPr>
          <w:p>
            <w:r/>
            <w:r>
              <w:rPr>
                <w:rFonts w:ascii="Calibri" w:hAnsi="Calibri"/>
                <w:b w:val="0"/>
                <w:i w:val="0"/>
                <w:color w:val="000000"/>
                <w:sz w:val="22"/>
              </w:rPr>
              <w:t>C</w:t>
            </w:r>
            <w:r>
              <w:rPr>
                <w:rFonts w:ascii="Calibri" w:hAnsi="Calibri"/>
                <w:b w:val="0"/>
                <w:i w:val="0"/>
                <w:color w:val="000000"/>
                <w:sz w:val="14"/>
              </w:rPr>
            </w:r>
          </w:p>
        </w:tc>
        <w:tc>
          <w:tcPr>
            <w:tcW w:type="dxa" w:w="510"/>
          </w:tcPr>
          <w:p>
            <w:r/>
            <w:r>
              <w:rPr>
                <w:rFonts w:ascii="Calibri" w:hAnsi="Calibri"/>
                <w:b w:val="0"/>
                <w:i w:val="0"/>
                <w:color w:val="000000"/>
                <w:sz w:val="22"/>
              </w:rPr>
              <w:t>I</w:t>
            </w:r>
            <w:r>
              <w:rPr>
                <w:rFonts w:ascii="Calibri" w:hAnsi="Calibri"/>
                <w:b w:val="0"/>
                <w:i w:val="0"/>
                <w:color w:val="000000"/>
                <w:sz w:val="14"/>
              </w:rPr>
            </w:r>
          </w:p>
        </w:tc>
        <w:tc>
          <w:tcPr>
            <w:tcW w:type="dxa" w:w="1111"/>
          </w:tcPr>
          <w:p>
            <w:r/>
            <w:r>
              <w:rPr>
                <w:rFonts w:ascii="Calibri" w:hAnsi="Calibri"/>
                <w:b w:val="0"/>
                <w:i w:val="0"/>
                <w:color w:val="000000"/>
                <w:sz w:val="22"/>
              </w:rPr>
              <w:t>A</w:t>
            </w:r>
            <w:r>
              <w:rPr>
                <w:rFonts w:ascii="Calibri" w:hAnsi="Calibri"/>
                <w:b w:val="0"/>
                <w:i w:val="0"/>
                <w:color w:val="000000"/>
                <w:sz w:val="14"/>
              </w:rPr>
            </w:r>
          </w:p>
        </w:tc>
        <w:tc>
          <w:tcPr>
            <w:tcW w:type="dxa" w:w="1651"/>
          </w:tcPr>
          <w:p>
            <w:r/>
            <w:r>
              <w:rPr>
                <w:rFonts w:ascii="Calibri" w:hAnsi="Calibri"/>
                <w:b w:val="0"/>
                <w:i w:val="0"/>
                <w:color w:val="000000"/>
                <w:sz w:val="22"/>
              </w:rPr>
              <w:t>R</w:t>
            </w:r>
            <w:r>
              <w:rPr>
                <w:rFonts w:ascii="Calibri" w:hAnsi="Calibri"/>
                <w:b w:val="0"/>
                <w:i w:val="0"/>
                <w:color w:val="000000"/>
                <w:sz w:val="14"/>
              </w:rPr>
            </w:r>
          </w:p>
        </w:tc>
        <w:tc>
          <w:tcPr>
            <w:tcW w:type="dxa" w:w="1111"/>
          </w:tcPr>
          <w:p>
            <w:r/>
            <w:r>
              <w:rPr>
                <w:rFonts w:ascii="Calibri" w:hAnsi="Calibri"/>
                <w:b w:val="0"/>
                <w:i w:val="0"/>
                <w:color w:val="000000"/>
                <w:sz w:val="22"/>
              </w:rPr>
              <w:t>R</w:t>
            </w:r>
            <w:r>
              <w:rPr>
                <w:rFonts w:ascii="Calibri" w:hAnsi="Calibri"/>
                <w:b w:val="0"/>
                <w:i w:val="0"/>
                <w:color w:val="000000"/>
                <w:sz w:val="14"/>
              </w:rPr>
            </w:r>
          </w:p>
        </w:tc>
        <w:tc>
          <w:tcPr>
            <w:tcW w:type="dxa" w:w="1728"/>
          </w:tcPr>
          <w:p>
            <w:r/>
            <w:r>
              <w:rPr>
                <w:rFonts w:ascii="Calibri" w:hAnsi="Calibri"/>
                <w:b w:val="0"/>
                <w:i w:val="0"/>
                <w:color w:val="000000"/>
                <w:sz w:val="22"/>
              </w:rPr>
              <w:t>—</w:t>
            </w:r>
            <w:r>
              <w:rPr>
                <w:rFonts w:ascii="Calibri" w:hAnsi="Calibri"/>
                <w:b w:val="0"/>
                <w:i w:val="0"/>
                <w:color w:val="000000"/>
                <w:sz w:val="14"/>
              </w:rPr>
            </w:r>
          </w:p>
        </w:tc>
        <w:tc>
          <w:tcPr>
            <w:tcW w:type="dxa" w:w="510"/>
          </w:tcPr>
          <w:p>
            <w:r/>
            <w:r>
              <w:rPr>
                <w:rFonts w:ascii="Calibri" w:hAnsi="Calibri"/>
                <w:b w:val="0"/>
                <w:i w:val="0"/>
                <w:color w:val="000000"/>
                <w:sz w:val="22"/>
              </w:rPr>
              <w:t>—</w:t>
            </w:r>
            <w:r>
              <w:rPr>
                <w:rFonts w:ascii="Calibri" w:hAnsi="Calibri"/>
                <w:b w:val="0"/>
                <w:i w:val="0"/>
                <w:color w:val="000000"/>
                <w:sz w:val="14"/>
              </w:rPr>
            </w:r>
          </w:p>
        </w:tc>
      </w:tr>
      <w:tr>
        <w:tc>
          <w:tcPr>
            <w:tcW w:type="dxa" w:w="2809"/>
          </w:tcPr>
          <w:p>
            <w:r/>
            <w:r>
              <w:rPr>
                <w:rFonts w:ascii="Calibri" w:hAnsi="Calibri"/>
                <w:b w:val="0"/>
                <w:i w:val="0"/>
                <w:color w:val="000000"/>
                <w:sz w:val="22"/>
              </w:rPr>
              <w:t>Контрола во транзит</w:t>
            </w:r>
            <w:r>
              <w:rPr>
                <w:rFonts w:ascii="Calibri" w:hAnsi="Calibri"/>
                <w:b w:val="0"/>
                <w:i w:val="0"/>
                <w:color w:val="000000"/>
                <w:sz w:val="14"/>
              </w:rPr>
              <w:t xml:space="preserve"> | </w:t>
            </w:r>
            <w:r>
              <w:rPr>
                <w:rFonts w:ascii="Calibri" w:hAnsi="Calibri"/>
                <w:b w:val="0"/>
                <w:i w:val="0"/>
                <w:color w:val="000000"/>
                <w:sz w:val="14"/>
              </w:rPr>
              <w:t>In-transit control</w:t>
            </w:r>
          </w:p>
        </w:tc>
        <w:tc>
          <w:tcPr>
            <w:tcW w:type="dxa" w:w="1033"/>
          </w:tcPr>
          <w:p>
            <w:r/>
            <w:r>
              <w:rPr>
                <w:rFonts w:ascii="Calibri" w:hAnsi="Calibri"/>
                <w:b w:val="0"/>
                <w:i w:val="0"/>
                <w:color w:val="000000"/>
                <w:sz w:val="22"/>
              </w:rPr>
              <w:t>I</w:t>
            </w:r>
            <w:r>
              <w:rPr>
                <w:rFonts w:ascii="Calibri" w:hAnsi="Calibri"/>
                <w:b w:val="0"/>
                <w:i w:val="0"/>
                <w:color w:val="000000"/>
                <w:sz w:val="14"/>
              </w:rPr>
            </w:r>
          </w:p>
        </w:tc>
        <w:tc>
          <w:tcPr>
            <w:tcW w:type="dxa" w:w="510"/>
          </w:tcPr>
          <w:p>
            <w:r/>
            <w:r>
              <w:rPr>
                <w:rFonts w:ascii="Calibri" w:hAnsi="Calibri"/>
                <w:b w:val="0"/>
                <w:i w:val="0"/>
                <w:color w:val="000000"/>
                <w:sz w:val="22"/>
              </w:rPr>
              <w:t>I</w:t>
            </w:r>
            <w:r>
              <w:rPr>
                <w:rFonts w:ascii="Calibri" w:hAnsi="Calibri"/>
                <w:b w:val="0"/>
                <w:i w:val="0"/>
                <w:color w:val="000000"/>
                <w:sz w:val="14"/>
              </w:rPr>
            </w:r>
          </w:p>
        </w:tc>
        <w:tc>
          <w:tcPr>
            <w:tcW w:type="dxa" w:w="1111"/>
          </w:tcPr>
          <w:p>
            <w:r/>
            <w:r>
              <w:rPr>
                <w:rFonts w:ascii="Calibri" w:hAnsi="Calibri"/>
                <w:b w:val="0"/>
                <w:i w:val="0"/>
                <w:color w:val="000000"/>
                <w:sz w:val="22"/>
              </w:rPr>
              <w:t>A</w:t>
            </w:r>
            <w:r>
              <w:rPr>
                <w:rFonts w:ascii="Calibri" w:hAnsi="Calibri"/>
                <w:b w:val="0"/>
                <w:i w:val="0"/>
                <w:color w:val="000000"/>
                <w:sz w:val="14"/>
              </w:rPr>
            </w:r>
          </w:p>
        </w:tc>
        <w:tc>
          <w:tcPr>
            <w:tcW w:type="dxa" w:w="1651"/>
          </w:tcPr>
          <w:p>
            <w:r/>
            <w:r>
              <w:rPr>
                <w:rFonts w:ascii="Calibri" w:hAnsi="Calibri"/>
                <w:b w:val="0"/>
                <w:i w:val="0"/>
                <w:color w:val="000000"/>
                <w:sz w:val="22"/>
              </w:rPr>
              <w:t>I</w:t>
            </w:r>
            <w:r>
              <w:rPr>
                <w:rFonts w:ascii="Calibri" w:hAnsi="Calibri"/>
                <w:b w:val="0"/>
                <w:i w:val="0"/>
                <w:color w:val="000000"/>
                <w:sz w:val="14"/>
              </w:rPr>
            </w:r>
          </w:p>
        </w:tc>
        <w:tc>
          <w:tcPr>
            <w:tcW w:type="dxa" w:w="1111"/>
          </w:tcPr>
          <w:p>
            <w:r/>
            <w:r>
              <w:rPr>
                <w:rFonts w:ascii="Calibri" w:hAnsi="Calibri"/>
                <w:b w:val="0"/>
                <w:i w:val="0"/>
                <w:color w:val="000000"/>
                <w:sz w:val="22"/>
              </w:rPr>
              <w:t>R</w:t>
            </w:r>
            <w:r>
              <w:rPr>
                <w:rFonts w:ascii="Calibri" w:hAnsi="Calibri"/>
                <w:b w:val="0"/>
                <w:i w:val="0"/>
                <w:color w:val="000000"/>
                <w:sz w:val="14"/>
              </w:rPr>
            </w:r>
          </w:p>
        </w:tc>
        <w:tc>
          <w:tcPr>
            <w:tcW w:type="dxa" w:w="1728"/>
          </w:tcPr>
          <w:p>
            <w:r/>
            <w:r>
              <w:rPr>
                <w:rFonts w:ascii="Calibri" w:hAnsi="Calibri"/>
                <w:b w:val="0"/>
                <w:i w:val="0"/>
                <w:color w:val="000000"/>
                <w:sz w:val="22"/>
              </w:rPr>
              <w:t>—</w:t>
            </w:r>
            <w:r>
              <w:rPr>
                <w:rFonts w:ascii="Calibri" w:hAnsi="Calibri"/>
                <w:b w:val="0"/>
                <w:i w:val="0"/>
                <w:color w:val="000000"/>
                <w:sz w:val="14"/>
              </w:rPr>
            </w:r>
          </w:p>
        </w:tc>
        <w:tc>
          <w:tcPr>
            <w:tcW w:type="dxa" w:w="510"/>
          </w:tcPr>
          <w:p>
            <w:r/>
            <w:r>
              <w:rPr>
                <w:rFonts w:ascii="Calibri" w:hAnsi="Calibri"/>
                <w:b w:val="0"/>
                <w:i w:val="0"/>
                <w:color w:val="000000"/>
                <w:sz w:val="22"/>
              </w:rPr>
              <w:t>—</w:t>
            </w:r>
            <w:r>
              <w:rPr>
                <w:rFonts w:ascii="Calibri" w:hAnsi="Calibri"/>
                <w:b w:val="0"/>
                <w:i w:val="0"/>
                <w:color w:val="000000"/>
                <w:sz w:val="14"/>
              </w:rPr>
            </w:r>
          </w:p>
        </w:tc>
      </w:tr>
      <w:tr>
        <w:tc>
          <w:tcPr>
            <w:tcW w:type="dxa" w:w="2809"/>
          </w:tcPr>
          <w:p>
            <w:r/>
            <w:r>
              <w:rPr>
                <w:rFonts w:ascii="Calibri" w:hAnsi="Calibri"/>
                <w:b w:val="0"/>
                <w:i w:val="0"/>
                <w:color w:val="000000"/>
                <w:sz w:val="22"/>
              </w:rPr>
              <w:t>Прием и проверка</w:t>
            </w:r>
            <w:r>
              <w:rPr>
                <w:rFonts w:ascii="Calibri" w:hAnsi="Calibri"/>
                <w:b w:val="0"/>
                <w:i w:val="0"/>
                <w:color w:val="000000"/>
                <w:sz w:val="14"/>
              </w:rPr>
              <w:t xml:space="preserve"> | </w:t>
            </w:r>
            <w:r>
              <w:rPr>
                <w:rFonts w:ascii="Calibri" w:hAnsi="Calibri"/>
                <w:b w:val="0"/>
                <w:i w:val="0"/>
                <w:color w:val="000000"/>
                <w:sz w:val="14"/>
              </w:rPr>
              <w:t>Receipt and verification</w:t>
            </w:r>
          </w:p>
        </w:tc>
        <w:tc>
          <w:tcPr>
            <w:tcW w:type="dxa" w:w="1033"/>
          </w:tcPr>
          <w:p>
            <w:r/>
            <w:r>
              <w:rPr>
                <w:rFonts w:ascii="Calibri" w:hAnsi="Calibri"/>
                <w:b w:val="0"/>
                <w:i w:val="0"/>
                <w:color w:val="000000"/>
                <w:sz w:val="22"/>
              </w:rPr>
              <w:t>C</w:t>
            </w:r>
            <w:r>
              <w:rPr>
                <w:rFonts w:ascii="Calibri" w:hAnsi="Calibri"/>
                <w:b w:val="0"/>
                <w:i w:val="0"/>
                <w:color w:val="000000"/>
                <w:sz w:val="14"/>
              </w:rPr>
            </w:r>
          </w:p>
        </w:tc>
        <w:tc>
          <w:tcPr>
            <w:tcW w:type="dxa" w:w="510"/>
          </w:tcPr>
          <w:p>
            <w:r/>
            <w:r>
              <w:rPr>
                <w:rFonts w:ascii="Calibri" w:hAnsi="Calibri"/>
                <w:b w:val="0"/>
                <w:i w:val="0"/>
                <w:color w:val="000000"/>
                <w:sz w:val="22"/>
              </w:rPr>
              <w:t>I</w:t>
            </w:r>
            <w:r>
              <w:rPr>
                <w:rFonts w:ascii="Calibri" w:hAnsi="Calibri"/>
                <w:b w:val="0"/>
                <w:i w:val="0"/>
                <w:color w:val="000000"/>
                <w:sz w:val="14"/>
              </w:rPr>
            </w:r>
          </w:p>
        </w:tc>
        <w:tc>
          <w:tcPr>
            <w:tcW w:type="dxa" w:w="1111"/>
          </w:tcPr>
          <w:p>
            <w:r/>
            <w:r>
              <w:rPr>
                <w:rFonts w:ascii="Calibri" w:hAnsi="Calibri"/>
                <w:b w:val="0"/>
                <w:i w:val="0"/>
                <w:color w:val="000000"/>
                <w:sz w:val="22"/>
              </w:rPr>
              <w:t>C</w:t>
            </w:r>
            <w:r>
              <w:rPr>
                <w:rFonts w:ascii="Calibri" w:hAnsi="Calibri"/>
                <w:b w:val="0"/>
                <w:i w:val="0"/>
                <w:color w:val="000000"/>
                <w:sz w:val="14"/>
              </w:rPr>
            </w:r>
          </w:p>
        </w:tc>
        <w:tc>
          <w:tcPr>
            <w:tcW w:type="dxa" w:w="1651"/>
          </w:tcPr>
          <w:p>
            <w:r/>
            <w:r>
              <w:rPr>
                <w:rFonts w:ascii="Calibri" w:hAnsi="Calibri"/>
                <w:b w:val="0"/>
                <w:i w:val="0"/>
                <w:color w:val="000000"/>
                <w:sz w:val="22"/>
              </w:rPr>
              <w:t>R</w:t>
            </w:r>
            <w:r>
              <w:rPr>
                <w:rFonts w:ascii="Calibri" w:hAnsi="Calibri"/>
                <w:b w:val="0"/>
                <w:i w:val="0"/>
                <w:color w:val="000000"/>
                <w:sz w:val="14"/>
              </w:rPr>
            </w:r>
          </w:p>
        </w:tc>
        <w:tc>
          <w:tcPr>
            <w:tcW w:type="dxa" w:w="1111"/>
          </w:tcPr>
          <w:p>
            <w:r/>
            <w:r>
              <w:rPr>
                <w:rFonts w:ascii="Calibri" w:hAnsi="Calibri"/>
                <w:b w:val="0"/>
                <w:i w:val="0"/>
                <w:color w:val="000000"/>
                <w:sz w:val="22"/>
              </w:rPr>
              <w:t>R</w:t>
            </w:r>
            <w:r>
              <w:rPr>
                <w:rFonts w:ascii="Calibri" w:hAnsi="Calibri"/>
                <w:b w:val="0"/>
                <w:i w:val="0"/>
                <w:color w:val="000000"/>
                <w:sz w:val="14"/>
              </w:rPr>
            </w:r>
          </w:p>
        </w:tc>
        <w:tc>
          <w:tcPr>
            <w:tcW w:type="dxa" w:w="1728"/>
          </w:tcPr>
          <w:p>
            <w:r/>
            <w:r>
              <w:rPr>
                <w:rFonts w:ascii="Calibri" w:hAnsi="Calibri"/>
                <w:b w:val="0"/>
                <w:i w:val="0"/>
                <w:color w:val="000000"/>
                <w:sz w:val="22"/>
              </w:rPr>
              <w:t>A/R</w:t>
            </w:r>
            <w:r>
              <w:rPr>
                <w:rFonts w:ascii="Calibri" w:hAnsi="Calibri"/>
                <w:b w:val="0"/>
                <w:i w:val="0"/>
                <w:color w:val="000000"/>
                <w:sz w:val="14"/>
              </w:rPr>
            </w:r>
          </w:p>
        </w:tc>
        <w:tc>
          <w:tcPr>
            <w:tcW w:type="dxa" w:w="510"/>
          </w:tcPr>
          <w:p>
            <w:r/>
            <w:r>
              <w:rPr>
                <w:rFonts w:ascii="Calibri" w:hAnsi="Calibri"/>
                <w:b w:val="0"/>
                <w:i w:val="0"/>
                <w:color w:val="000000"/>
                <w:sz w:val="22"/>
              </w:rPr>
              <w:t>—</w:t>
            </w:r>
            <w:r>
              <w:rPr>
                <w:rFonts w:ascii="Calibri" w:hAnsi="Calibri"/>
                <w:b w:val="0"/>
                <w:i w:val="0"/>
                <w:color w:val="000000"/>
                <w:sz w:val="14"/>
              </w:rPr>
            </w:r>
          </w:p>
        </w:tc>
      </w:tr>
      <w:tr>
        <w:tc>
          <w:tcPr>
            <w:tcW w:type="dxa" w:w="2809"/>
          </w:tcPr>
          <w:p>
            <w:r/>
            <w:r>
              <w:rPr>
                <w:rFonts w:ascii="Calibri" w:hAnsi="Calibri"/>
                <w:b w:val="0"/>
                <w:i w:val="0"/>
                <w:color w:val="000000"/>
                <w:sz w:val="22"/>
              </w:rPr>
              <w:t>Известување до МЗ</w:t>
            </w:r>
            <w:r>
              <w:rPr>
                <w:rFonts w:ascii="Calibri" w:hAnsi="Calibri"/>
                <w:b w:val="0"/>
                <w:i w:val="0"/>
                <w:color w:val="000000"/>
                <w:sz w:val="14"/>
              </w:rPr>
              <w:t xml:space="preserve"> | </w:t>
            </w:r>
            <w:r>
              <w:rPr>
                <w:rFonts w:ascii="Calibri" w:hAnsi="Calibri"/>
                <w:b w:val="0"/>
                <w:i w:val="0"/>
                <w:color w:val="000000"/>
                <w:sz w:val="14"/>
              </w:rPr>
              <w:t>MoH post-transport report</w:t>
            </w:r>
          </w:p>
        </w:tc>
        <w:tc>
          <w:tcPr>
            <w:tcW w:type="dxa" w:w="1033"/>
          </w:tcPr>
          <w:p>
            <w:r/>
            <w:r>
              <w:rPr>
                <w:rFonts w:ascii="Calibri" w:hAnsi="Calibri"/>
                <w:b w:val="0"/>
                <w:i w:val="0"/>
                <w:color w:val="000000"/>
                <w:sz w:val="22"/>
              </w:rPr>
              <w:t>I</w:t>
            </w:r>
            <w:r>
              <w:rPr>
                <w:rFonts w:ascii="Calibri" w:hAnsi="Calibri"/>
                <w:b w:val="0"/>
                <w:i w:val="0"/>
                <w:color w:val="000000"/>
                <w:sz w:val="14"/>
              </w:rPr>
            </w:r>
          </w:p>
        </w:tc>
        <w:tc>
          <w:tcPr>
            <w:tcW w:type="dxa" w:w="510"/>
          </w:tcPr>
          <w:p>
            <w:r/>
            <w:r>
              <w:rPr>
                <w:rFonts w:ascii="Calibri" w:hAnsi="Calibri"/>
                <w:b w:val="0"/>
                <w:i w:val="0"/>
                <w:color w:val="000000"/>
                <w:sz w:val="22"/>
              </w:rPr>
              <w:t>C</w:t>
            </w:r>
            <w:r>
              <w:rPr>
                <w:rFonts w:ascii="Calibri" w:hAnsi="Calibri"/>
                <w:b w:val="0"/>
                <w:i w:val="0"/>
                <w:color w:val="000000"/>
                <w:sz w:val="14"/>
              </w:rPr>
            </w:r>
          </w:p>
        </w:tc>
        <w:tc>
          <w:tcPr>
            <w:tcW w:type="dxa" w:w="1111"/>
          </w:tcPr>
          <w:p>
            <w:r/>
            <w:r>
              <w:rPr>
                <w:rFonts w:ascii="Calibri" w:hAnsi="Calibri"/>
                <w:b w:val="0"/>
                <w:i w:val="0"/>
                <w:color w:val="000000"/>
                <w:sz w:val="22"/>
              </w:rPr>
              <w:t>R</w:t>
            </w:r>
            <w:r>
              <w:rPr>
                <w:rFonts w:ascii="Calibri" w:hAnsi="Calibri"/>
                <w:b w:val="0"/>
                <w:i w:val="0"/>
                <w:color w:val="000000"/>
                <w:sz w:val="14"/>
              </w:rPr>
            </w:r>
          </w:p>
        </w:tc>
        <w:tc>
          <w:tcPr>
            <w:tcW w:type="dxa" w:w="1651"/>
          </w:tcPr>
          <w:p>
            <w:r/>
            <w:r>
              <w:rPr>
                <w:rFonts w:ascii="Calibri" w:hAnsi="Calibri"/>
                <w:b w:val="0"/>
                <w:i w:val="0"/>
                <w:color w:val="000000"/>
                <w:sz w:val="22"/>
              </w:rPr>
              <w:t>C</w:t>
            </w:r>
            <w:r>
              <w:rPr>
                <w:rFonts w:ascii="Calibri" w:hAnsi="Calibri"/>
                <w:b w:val="0"/>
                <w:i w:val="0"/>
                <w:color w:val="000000"/>
                <w:sz w:val="14"/>
              </w:rPr>
            </w:r>
          </w:p>
        </w:tc>
        <w:tc>
          <w:tcPr>
            <w:tcW w:type="dxa" w:w="1111"/>
          </w:tcPr>
          <w:p>
            <w:r/>
            <w:r>
              <w:rPr>
                <w:rFonts w:ascii="Calibri" w:hAnsi="Calibri"/>
                <w:b w:val="0"/>
                <w:i w:val="0"/>
                <w:color w:val="000000"/>
                <w:sz w:val="22"/>
              </w:rPr>
              <w:t>—</w:t>
            </w:r>
            <w:r>
              <w:rPr>
                <w:rFonts w:ascii="Calibri" w:hAnsi="Calibri"/>
                <w:b w:val="0"/>
                <w:i w:val="0"/>
                <w:color w:val="000000"/>
                <w:sz w:val="14"/>
              </w:rPr>
            </w:r>
          </w:p>
        </w:tc>
        <w:tc>
          <w:tcPr>
            <w:tcW w:type="dxa" w:w="1728"/>
          </w:tcPr>
          <w:p>
            <w:r/>
            <w:r>
              <w:rPr>
                <w:rFonts w:ascii="Calibri" w:hAnsi="Calibri"/>
                <w:b w:val="0"/>
                <w:i w:val="0"/>
                <w:color w:val="000000"/>
                <w:sz w:val="22"/>
              </w:rPr>
              <w:t>—</w:t>
            </w:r>
            <w:r>
              <w:rPr>
                <w:rFonts w:ascii="Calibri" w:hAnsi="Calibri"/>
                <w:b w:val="0"/>
                <w:i w:val="0"/>
                <w:color w:val="000000"/>
                <w:sz w:val="14"/>
              </w:rPr>
            </w:r>
          </w:p>
        </w:tc>
        <w:tc>
          <w:tcPr>
            <w:tcW w:type="dxa" w:w="510"/>
          </w:tcPr>
          <w:p>
            <w:r/>
            <w:r>
              <w:rPr>
                <w:rFonts w:ascii="Calibri" w:hAnsi="Calibri"/>
                <w:b w:val="0"/>
                <w:i w:val="0"/>
                <w:color w:val="000000"/>
                <w:sz w:val="22"/>
              </w:rPr>
              <w:t>A</w:t>
            </w:r>
            <w:r>
              <w:rPr>
                <w:rFonts w:ascii="Calibri" w:hAnsi="Calibri"/>
                <w:b w:val="0"/>
                <w:i w:val="0"/>
                <w:color w:val="000000"/>
                <w:sz w:val="14"/>
              </w:rPr>
            </w:r>
          </w:p>
        </w:tc>
      </w:tr>
      <w:tr>
        <w:tc>
          <w:tcPr>
            <w:tcW w:type="dxa" w:w="2809"/>
          </w:tcPr>
          <w:p>
            <w:r/>
            <w:r>
              <w:rPr>
                <w:rFonts w:ascii="Calibri" w:hAnsi="Calibri"/>
                <w:b w:val="0"/>
                <w:i w:val="0"/>
                <w:color w:val="000000"/>
                <w:sz w:val="22"/>
              </w:rPr>
              <w:t>Преглед и диспозиција</w:t>
            </w:r>
            <w:r>
              <w:rPr>
                <w:rFonts w:ascii="Calibri" w:hAnsi="Calibri"/>
                <w:b w:val="0"/>
                <w:i w:val="0"/>
                <w:color w:val="000000"/>
                <w:sz w:val="14"/>
              </w:rPr>
              <w:t xml:space="preserve"> | </w:t>
            </w:r>
            <w:r>
              <w:rPr>
                <w:rFonts w:ascii="Calibri" w:hAnsi="Calibri"/>
                <w:b w:val="0"/>
                <w:i w:val="0"/>
                <w:color w:val="000000"/>
                <w:sz w:val="14"/>
              </w:rPr>
              <w:t>Review and disposition</w:t>
            </w:r>
          </w:p>
        </w:tc>
        <w:tc>
          <w:tcPr>
            <w:tcW w:type="dxa" w:w="1033"/>
          </w:tcPr>
          <w:p>
            <w:r/>
            <w:r>
              <w:rPr>
                <w:rFonts w:ascii="Calibri" w:hAnsi="Calibri"/>
                <w:b w:val="0"/>
                <w:i w:val="0"/>
                <w:color w:val="000000"/>
                <w:sz w:val="22"/>
              </w:rPr>
              <w:t>C</w:t>
            </w:r>
            <w:r>
              <w:rPr>
                <w:rFonts w:ascii="Calibri" w:hAnsi="Calibri"/>
                <w:b w:val="0"/>
                <w:i w:val="0"/>
                <w:color w:val="000000"/>
                <w:sz w:val="14"/>
              </w:rPr>
            </w:r>
          </w:p>
        </w:tc>
        <w:tc>
          <w:tcPr>
            <w:tcW w:type="dxa" w:w="510"/>
          </w:tcPr>
          <w:p>
            <w:r/>
            <w:r>
              <w:rPr>
                <w:rFonts w:ascii="Calibri" w:hAnsi="Calibri"/>
                <w:b w:val="0"/>
                <w:i w:val="0"/>
                <w:color w:val="000000"/>
                <w:sz w:val="22"/>
              </w:rPr>
              <w:t>A/R</w:t>
            </w:r>
            <w:r>
              <w:rPr>
                <w:rFonts w:ascii="Calibri" w:hAnsi="Calibri"/>
                <w:b w:val="0"/>
                <w:i w:val="0"/>
                <w:color w:val="000000"/>
                <w:sz w:val="14"/>
              </w:rPr>
            </w:r>
          </w:p>
        </w:tc>
        <w:tc>
          <w:tcPr>
            <w:tcW w:type="dxa" w:w="1111"/>
          </w:tcPr>
          <w:p>
            <w:r/>
            <w:r>
              <w:rPr>
                <w:rFonts w:ascii="Calibri" w:hAnsi="Calibri"/>
                <w:b w:val="0"/>
                <w:i w:val="0"/>
                <w:color w:val="000000"/>
                <w:sz w:val="22"/>
              </w:rPr>
              <w:t>C</w:t>
            </w:r>
            <w:r>
              <w:rPr>
                <w:rFonts w:ascii="Calibri" w:hAnsi="Calibri"/>
                <w:b w:val="0"/>
                <w:i w:val="0"/>
                <w:color w:val="000000"/>
                <w:sz w:val="14"/>
              </w:rPr>
            </w:r>
          </w:p>
        </w:tc>
        <w:tc>
          <w:tcPr>
            <w:tcW w:type="dxa" w:w="1651"/>
          </w:tcPr>
          <w:p>
            <w:r/>
            <w:r>
              <w:rPr>
                <w:rFonts w:ascii="Calibri" w:hAnsi="Calibri"/>
                <w:b w:val="0"/>
                <w:i w:val="0"/>
                <w:color w:val="000000"/>
                <w:sz w:val="22"/>
              </w:rPr>
              <w:t>C</w:t>
            </w:r>
            <w:r>
              <w:rPr>
                <w:rFonts w:ascii="Calibri" w:hAnsi="Calibri"/>
                <w:b w:val="0"/>
                <w:i w:val="0"/>
                <w:color w:val="000000"/>
                <w:sz w:val="14"/>
              </w:rPr>
            </w:r>
          </w:p>
        </w:tc>
        <w:tc>
          <w:tcPr>
            <w:tcW w:type="dxa" w:w="1111"/>
          </w:tcPr>
          <w:p>
            <w:r/>
            <w:r>
              <w:rPr>
                <w:rFonts w:ascii="Calibri" w:hAnsi="Calibri"/>
                <w:b w:val="0"/>
                <w:i w:val="0"/>
                <w:color w:val="000000"/>
                <w:sz w:val="22"/>
              </w:rPr>
              <w:t>—</w:t>
            </w:r>
            <w:r>
              <w:rPr>
                <w:rFonts w:ascii="Calibri" w:hAnsi="Calibri"/>
                <w:b w:val="0"/>
                <w:i w:val="0"/>
                <w:color w:val="000000"/>
                <w:sz w:val="14"/>
              </w:rPr>
            </w:r>
          </w:p>
        </w:tc>
        <w:tc>
          <w:tcPr>
            <w:tcW w:type="dxa" w:w="1728"/>
          </w:tcPr>
          <w:p>
            <w:r/>
            <w:r>
              <w:rPr>
                <w:rFonts w:ascii="Calibri" w:hAnsi="Calibri"/>
                <w:b w:val="0"/>
                <w:i w:val="0"/>
                <w:color w:val="000000"/>
                <w:sz w:val="22"/>
              </w:rPr>
              <w:t>—</w:t>
            </w:r>
            <w:r>
              <w:rPr>
                <w:rFonts w:ascii="Calibri" w:hAnsi="Calibri"/>
                <w:b w:val="0"/>
                <w:i w:val="0"/>
                <w:color w:val="000000"/>
                <w:sz w:val="14"/>
              </w:rPr>
            </w:r>
          </w:p>
        </w:tc>
        <w:tc>
          <w:tcPr>
            <w:tcW w:type="dxa" w:w="510"/>
          </w:tcPr>
          <w:p>
            <w:r/>
            <w:r>
              <w:rPr>
                <w:rFonts w:ascii="Calibri" w:hAnsi="Calibri"/>
                <w:b w:val="0"/>
                <w:i w:val="0"/>
                <w:color w:val="000000"/>
                <w:sz w:val="22"/>
              </w:rPr>
              <w:t>C</w:t>
            </w:r>
            <w:r>
              <w:rPr>
                <w:rFonts w:ascii="Calibri" w:hAnsi="Calibri"/>
                <w:b w:val="0"/>
                <w:i w:val="0"/>
                <w:color w:val="000000"/>
                <w:sz w:val="14"/>
              </w:rPr>
            </w:r>
          </w:p>
        </w:tc>
      </w:tr>
    </w:tbl>
    <w:tbl>
      <w:tblPr>
        <w:tblW w:type="auto" w:w="0"/>
        <w:jc w:val="center"/>
        <w:tblLayout w:type="fixed"/>
        <w:tblLook w:firstColumn="1" w:firstRow="1" w:lastColumn="0" w:lastRow="0" w:noHBand="0" w:noVBand="1" w:val="04A0"/>
        <w:tblLayout w:type="fixed"/>
      </w:tblPr>
      <w:tblGrid>
        <w:gridCol w:w="5233"/>
        <w:gridCol w:w="5233"/>
      </w:tblGrid>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A = одговорен за исходот; R = изведува; C = се консултира; I = се информира.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 = accountable; R = responsible; C = consulted; I = informed.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Складирање/Логистика: одговорен за оперативната изведба, ресурсите, пакувањето, означувањето, товарањето и комплетирањето на манифестот (WHSOP_003_A04) и чек-листата (WHSOP_003_A05).</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Head of Warehousing/Logistics: responsible for operational execution, resources, packaging, labelling, loading and completion of the manifest (WHSOP_003_A04) and checklist (WHSOP_003_A05).</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Обезбедување: ги изготвува и поднесува известувањата (WHSOP_003_A02, WHSOP_003_A03), ја проверува потврдата од МВР пред да ја одобри отпремата, го следи GPS во реално време и го изготвува извештајот по транспортот (WHSOP_003_A07).</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Head of Security: prepares and submits the notifications (WHSOP_003_A02, WHSOP_003_A03), verifies the MoIA confirmation before authorising dispatch, monitors GPS in real time and prepares the post-transport report (WHSOP_003_A07).</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КК: го иницира транспортот на мостри, го изготвува Барањето за анализа (WHSOP_003_A06), ја одобрува соодветноста на условите за мострите и ги прегледува резултатите.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QC Head: initiates sample transport, prepares the Request for Analysis (WHSOP_003_A06), confirms the suitability of the conditions for the samples and reviews the results.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QA: ја одобрува оваа СОП, ги квалификува превозникот и лабораториите, го одобрува TRA (WHSOP_003_A01), го прегледува комплетниот транспортен досие во рок од 48 часа и ја носи диспозицијата (WHSOP_003_A08); води истраги и CAPA.</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QA Manager: approves this SOP, qualifies the carrier and the laboratories, approves the TRA (WHSOP_003_A01), reviews the complete transport file within 48 hours and records the disposition (WHSOP_003_A08); leads investigations and CAPA.</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Квалификувано лице (QP): го потпишува извештајот до Министерството за здравство, ја носи диспозицијата при критични отстапувања и ја задржува крајната одговорност за усогласеност.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Qualified Person (QP): signs the report to the Ministry of Health, decides the disposition of critical deviations and retains ultimate responsibility for compliance.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Договорна обезбедувачка компанија: обезбедува квалификувано возило со GPS, двочлена посада со овластување за транспорт на опојни дроги, ја извршува рутата, го одржува ланецот на надзор и ги враќа документите во рок од 24 часа.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Contracted security company: provides a qualified GPS-equipped vehicle and a two-person crew authorised for narcotic transport, executes the route, maintains the chain of custody and returns the documents within 24 hours.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Примач / лабораторија: ја проверува пломбата, бројот и идентитетот пред потпис, ги презема податоците од логерот и го потпишува ланецот на надзор.</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Consignee / laboratory: verifies the seal, count and identity before signing, retrieves the logger data and signs the chain of custody.</w:t>
            </w:r>
          </w:p>
        </w:tc>
      </w:tr>
      <w:tr>
        <w:tc>
          <w:tcPr>
            <w:tcW w:type="dxa" w:w="5102"/>
            <w:shd w:val="clear" w:color="auto" w:fill="E8E8E8"/>
            <w:tcBorders>
              <w:top w:val="nil"/>
              <w:left w:val="nil"/>
              <w:bottom w:val="nil"/>
              <w:right w:val="single" w:sz="4" w:color="000000"/>
            </w:tcBorders>
          </w:tcPr>
          <w:p>
            <w:pPr>
              <w:pStyle w:val="Heading1"/>
            </w:pPr>
            <w:r/>
            <w:r>
              <w:rPr>
                <w:rFonts w:ascii="Calibri" w:hAnsi="Calibri"/>
                <w:b/>
                <w:i w:val="0"/>
                <w:color w:val="000000"/>
                <w:sz w:val="24"/>
              </w:rPr>
              <w:t>4.0 РЕФЕРЕНТНИ ДОКУМЕНТИ</w:t>
            </w:r>
          </w:p>
        </w:tc>
        <w:tc>
          <w:tcPr>
            <w:tcW w:type="dxa" w:w="5102"/>
            <w:shd w:val="clear" w:color="auto" w:fill="E8E8E8"/>
            <w:tcBorders>
              <w:top w:val="nil"/>
              <w:left w:val="single" w:sz="4" w:color="000000"/>
              <w:bottom w:val="nil"/>
              <w:right w:val="nil"/>
            </w:tcBorders>
          </w:tcPr>
          <w:p>
            <w:r/>
            <w:r>
              <w:rPr>
                <w:rFonts w:ascii="Calibri" w:hAnsi="Calibri"/>
                <w:b/>
                <w:i w:val="0"/>
                <w:color w:val="595959"/>
                <w:sz w:val="24"/>
              </w:rPr>
              <w:t>4.0 REFERENCE DOCUMENTS</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4.1 Национална регулатива</w:t>
            </w:r>
          </w:p>
        </w:tc>
        <w:tc>
          <w:tcPr>
            <w:tcW w:type="dxa" w:w="5102"/>
            <w:tcBorders>
              <w:top w:val="nil"/>
              <w:left w:val="single" w:sz="4" w:color="000000"/>
              <w:bottom w:val="nil"/>
              <w:right w:val="nil"/>
            </w:tcBorders>
          </w:tcPr>
          <w:p>
            <w:r/>
            <w:r>
              <w:rPr>
                <w:rFonts w:ascii="Calibri" w:hAnsi="Calibri"/>
                <w:b/>
                <w:i w:val="0"/>
                <w:color w:val="595959"/>
                <w:sz w:val="22"/>
              </w:rPr>
              <w:t>4.1 National legislation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Закон за контрола на опојни дроги и психотропни супстанции (пречистен текст, Сл. весник бр. 37/16) — транспорт на опојни дроги, претходно известување до Министерството за внатрешни работи и известување до Министерството за здравство.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Law on Control of Narcotic Drugs and Psychotropic Substances (consolidated text, Off. Gazette No. 37/16) — transport of narcotic drugs, prior notification to the Ministry of Interior Affairs and notification to the Ministry of Health.</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Закон за лекови и медицински средства (Сл. весник на РМ бр. 106/07 со измени); Закон за приватно обезбедување (овластување на обезбедувачката компанија).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Law on Medicines and Medical Devices (Off. Gazette of RM No. 106/07, as amended); Law on Private Security (authorisation of the security company).</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Упатство за начелата на добрата производна пракса (Сл. весник на РМ бр. 26/09).</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Guidelines on the principles of Good Manufacturing Practice (Off. Gazette of RM No. 26/09).</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4.2 EU GMP / GDP и меѓународни стандарди</w:t>
            </w:r>
          </w:p>
        </w:tc>
        <w:tc>
          <w:tcPr>
            <w:tcW w:type="dxa" w:w="5102"/>
            <w:tcBorders>
              <w:top w:val="nil"/>
              <w:left w:val="single" w:sz="4" w:color="000000"/>
              <w:bottom w:val="nil"/>
              <w:right w:val="nil"/>
            </w:tcBorders>
          </w:tcPr>
          <w:p>
            <w:r/>
            <w:r>
              <w:rPr>
                <w:rFonts w:ascii="Calibri" w:hAnsi="Calibri"/>
                <w:b/>
                <w:i w:val="0"/>
                <w:color w:val="595959"/>
                <w:sz w:val="22"/>
              </w:rPr>
              <w:t>4.2 EU GMP / GDP and international standards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EudraLex Vol. 4 — Part I Chapter 4 (документација), Chapter 5 §5.10 (транспорт), Chapter 7 (аутсорсирани активности); Annex 7 (растителни лекови); Annex 15 §6 (верификација на транспортот).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EudraLex Vol. 4 — Part I Chapter 4 (documentation), Chapter 5 §5.10 (transport), Chapter 7 (outsourced activities); Annex 7 (herbal medicinal products); Annex 15 §6 (verification of transportation).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Guidelines of 5 November 2013 on Good Distribution Practice of medicinal products for human use (2013/C 343/01), Chapter 9 (транспорт).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Guidelines of 5 November 2013 on Good Distribution Practice of medicinal products for human use (2013/C 343/01), Chapter 9 (transportation).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WHO TRS No. 957 (2010), Annex 5 (GDP); WHO TRS No. 961 (2011), Annex 9 — Model guidance for the storage and transport of time- and temperature-sensitive pharmaceutical products.</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WHO TRS No. 957 (2010), Annex 5 (GDP); WHO TRS No. 961 (2011), Annex 9 — Model guidance for the storage and transport of time- and temperature-sensitive pharmaceutical products.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Ph. Eur. Монографија 3028 (Cannabis flos); ICH Q9(R1) (управување со ризик); ICH Q10.</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Ph. Eur. Monograph 3028 (Cannabis flos); ICH Q9(R1) (risk management); ICH Q10.</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Единствена конвенција за опојни дроги (1961).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Single Convention on Narcotic Drugs (1961).</w:t>
            </w:r>
          </w:p>
        </w:tc>
      </w:tr>
      <w:tr>
        <w:tc>
          <w:tcPr>
            <w:tcW w:type="dxa" w:w="5102"/>
            <w:shd w:val="clear" w:color="auto" w:fill="E8E8E8"/>
            <w:tcBorders>
              <w:top w:val="nil"/>
              <w:left w:val="nil"/>
              <w:bottom w:val="nil"/>
              <w:right w:val="single" w:sz="4" w:color="000000"/>
            </w:tcBorders>
          </w:tcPr>
          <w:p>
            <w:pPr>
              <w:pStyle w:val="Heading1"/>
            </w:pPr>
            <w:r/>
            <w:r>
              <w:rPr>
                <w:rFonts w:ascii="Calibri" w:hAnsi="Calibri"/>
                <w:b/>
                <w:i w:val="0"/>
                <w:color w:val="000000"/>
                <w:sz w:val="24"/>
              </w:rPr>
              <w:t>5.0 ДЕФИНИЦИИ</w:t>
            </w:r>
          </w:p>
        </w:tc>
        <w:tc>
          <w:tcPr>
            <w:tcW w:type="dxa" w:w="5102"/>
            <w:shd w:val="clear" w:color="auto" w:fill="E8E8E8"/>
            <w:tcBorders>
              <w:top w:val="nil"/>
              <w:left w:val="single" w:sz="4" w:color="000000"/>
              <w:bottom w:val="nil"/>
              <w:right w:val="nil"/>
            </w:tcBorders>
          </w:tcPr>
          <w:p>
            <w:r/>
            <w:r>
              <w:rPr>
                <w:rFonts w:ascii="Calibri" w:hAnsi="Calibri"/>
                <w:b/>
                <w:i w:val="0"/>
                <w:color w:val="595959"/>
                <w:sz w:val="24"/>
              </w:rPr>
              <w:t>5.0 DEFINITIONS</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5.1 Дефиниции</w:t>
            </w:r>
          </w:p>
        </w:tc>
        <w:tc>
          <w:tcPr>
            <w:tcW w:type="dxa" w:w="5102"/>
            <w:tcBorders>
              <w:top w:val="nil"/>
              <w:left w:val="single" w:sz="4" w:color="000000"/>
              <w:bottom w:val="nil"/>
              <w:right w:val="nil"/>
            </w:tcBorders>
          </w:tcPr>
          <w:p>
            <w:r/>
            <w:r>
              <w:rPr>
                <w:rFonts w:ascii="Calibri" w:hAnsi="Calibri"/>
                <w:b/>
                <w:i w:val="0"/>
                <w:color w:val="595959"/>
                <w:sz w:val="22"/>
              </w:rPr>
              <w:t>5.1 Definitions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Опојна дрога — супстанца ставена под контрола со Законот за контрола на опојни дроги и психотропни супстанции; во оваа СОП: канабис и производи од канабис во сите форми (во постарите документи: „еуфорични супстанции“).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Narcotic drug — a substance placed under control by the Law on Control of Narcotic Drugs and Psychotropic Substances; in this SOP: cannabis and cannabis products in all forms (in older documents: "euphoric substances").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Транспортен настан — едно движење на една или повеќе пратки од едно место на испраќање до едно место на прием, идентификувано со единствен идентификатор (UTID).</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Transport event — one movement of one or more consignments from one dispatch point to one receipt point, identified by a unique transport identifier (UTID).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UTID — единствен идентификатор на транспорт, формат TR-YYYYMMDD-NNN (на пр. TR-20261015-001); ги поврзува сите записи на настанот.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UTID — unique transport identifier, format TR-YYYYMMDD-NNN (e.g. TR-20261015-001); links all records of the event.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Рута (лента) — дефинирана комбинација на место на испраќање, место на прием, патека, возило/пакување и сезона, квалификувана согласно QASOP_0XX.</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Lane — a defined combination of dispatch point, receipt point, route, vehicle/packaging and season, qualified per QASOP_0XX.</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Ланец на надзор — документирана, хронолошка и непрекината евиденција на поседувањето и предавањето на пратката.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Chain of custody — the documented, chronological and unbroken record of possession and hand-over of the consignment.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Пломба со доказ за отворање — серијализирана безбедносна пломба која видливо покажува секое неовластено отворање.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Tamper-evident seal — a serialised security seal that visibly shows any unauthorised opening.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Температурна екскурзија — секое отстапување од пропишаниот опсег на температура или влага, без оглед на времетраењето.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Temperature excursion — any departure from the prescribed temperature or humidity range, regardless of duration.</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5.2 Кратенки</w:t>
            </w:r>
          </w:p>
        </w:tc>
        <w:tc>
          <w:tcPr>
            <w:tcW w:type="dxa" w:w="5102"/>
            <w:tcBorders>
              <w:top w:val="nil"/>
              <w:left w:val="single" w:sz="4" w:color="000000"/>
              <w:bottom w:val="nil"/>
              <w:right w:val="nil"/>
            </w:tcBorders>
          </w:tcPr>
          <w:p>
            <w:r/>
            <w:r>
              <w:rPr>
                <w:rFonts w:ascii="Calibri" w:hAnsi="Calibri"/>
                <w:b/>
                <w:i w:val="0"/>
                <w:color w:val="595959"/>
                <w:sz w:val="22"/>
              </w:rPr>
              <w:t>5.2 Abbreviations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МВР — Министерство за внатрешни работи (MoIA); МЗ — Министерство за здравство (MoH); TRA — процена на ризик од транспорт; UTID; GPS; RH; MKT; CAPA; GMP; GDP; QA; QC; QP; SOP; CoA.</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MoIA — Ministry of Interior Affairs (МВР); MoH — Ministry of Health (МЗ); TRA — transport risk assessment; UTID; GPS; RH; MKT; CAPA; GMP; GDP; QA; QC; QP; SOP; CoA.</w:t>
            </w:r>
          </w:p>
        </w:tc>
      </w:tr>
      <w:tr>
        <w:tc>
          <w:tcPr>
            <w:tcW w:type="dxa" w:w="5102"/>
            <w:shd w:val="clear" w:color="auto" w:fill="E8E8E8"/>
            <w:tcBorders>
              <w:top w:val="nil"/>
              <w:left w:val="nil"/>
              <w:bottom w:val="nil"/>
              <w:right w:val="single" w:sz="4" w:color="000000"/>
            </w:tcBorders>
          </w:tcPr>
          <w:p>
            <w:pPr>
              <w:pStyle w:val="Heading1"/>
            </w:pPr>
            <w:r/>
            <w:r>
              <w:rPr>
                <w:rFonts w:ascii="Calibri" w:hAnsi="Calibri"/>
                <w:b/>
                <w:i w:val="0"/>
                <w:color w:val="000000"/>
                <w:sz w:val="24"/>
              </w:rPr>
              <w:t>6.0 ПОСТАПКА</w:t>
            </w:r>
          </w:p>
        </w:tc>
        <w:tc>
          <w:tcPr>
            <w:tcW w:type="dxa" w:w="5102"/>
            <w:shd w:val="clear" w:color="auto" w:fill="E8E8E8"/>
            <w:tcBorders>
              <w:top w:val="nil"/>
              <w:left w:val="single" w:sz="4" w:color="000000"/>
              <w:bottom w:val="nil"/>
              <w:right w:val="nil"/>
            </w:tcBorders>
          </w:tcPr>
          <w:p>
            <w:r/>
            <w:r>
              <w:rPr>
                <w:rFonts w:ascii="Calibri" w:hAnsi="Calibri"/>
                <w:b/>
                <w:i w:val="0"/>
                <w:color w:val="595959"/>
                <w:sz w:val="24"/>
              </w:rPr>
              <w:t>6.0 PROCEDURE</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6.1 Општи барања и матрица на услови</w:t>
            </w:r>
          </w:p>
        </w:tc>
        <w:tc>
          <w:tcPr>
            <w:tcW w:type="dxa" w:w="5102"/>
            <w:tcBorders>
              <w:top w:val="nil"/>
              <w:left w:val="single" w:sz="4" w:color="000000"/>
              <w:bottom w:val="nil"/>
              <w:right w:val="nil"/>
            </w:tcBorders>
          </w:tcPr>
          <w:p>
            <w:r/>
            <w:r>
              <w:rPr>
                <w:rFonts w:ascii="Calibri" w:hAnsi="Calibri"/>
                <w:b/>
                <w:i w:val="0"/>
                <w:color w:val="595959"/>
                <w:sz w:val="22"/>
              </w:rPr>
              <w:t>6.1 General requirements and condition matrix</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Секое движење мора да биде: (а) извршено по квалификувана рута според QASOP_0XX (статус QUALIFIED во регистарот QASOP_0XX_A06); (б) пријавено до МВР и потврдено пред отпремата; (в) извршено од договорна обезбедувачка компанија со важечки Технички договор за квалитет; и (г) следено со калибриран логер за температура и влага. Ниту едно движење не започнува ако некој од овие услови не е исполнет.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Every movement must be: (a) executed on a lane qualified per QASOP_0XX (status QUALIFIED in register QASOP_0XX_A06); (b) notified to the MoIA and confirmed before dispatch; (c) performed by a contracted security company holding a valid Technical Quality Agreement; and (d) monitored with a calibrated temperature and humidity logger. No movement starts if any of these conditions is not met.</w:t>
            </w:r>
          </w:p>
        </w:tc>
      </w:tr>
    </w:tbl>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2564"/>
        <w:gridCol w:w="1972"/>
        <w:gridCol w:w="802"/>
        <w:gridCol w:w="2564"/>
        <w:gridCol w:w="2564"/>
      </w:tblGrid>
      <w:tr>
        <w:trPr>
          <w:tblHeader w:val="true"/>
        </w:trPr>
        <w:tc>
          <w:tcPr>
            <w:shd w:val="clear" w:color="auto" w:fill="D9E2F3"/>
            <w:tcW w:type="dxa" w:w="2564"/>
          </w:tcPr>
          <w:p>
            <w:r/>
            <w:r>
              <w:rPr>
                <w:rFonts w:ascii="Calibri" w:hAnsi="Calibri"/>
                <w:b/>
                <w:i w:val="0"/>
                <w:color w:val="000000"/>
                <w:sz w:val="22"/>
              </w:rPr>
              <w:t>Вид на материјал</w:t>
            </w:r>
            <w:r>
              <w:rPr>
                <w:rFonts w:ascii="Calibri" w:hAnsi="Calibri"/>
                <w:b w:val="0"/>
                <w:i w:val="0"/>
                <w:color w:val="000000"/>
                <w:sz w:val="14"/>
              </w:rPr>
              <w:t xml:space="preserve"> | </w:t>
            </w:r>
            <w:r>
              <w:rPr>
                <w:rFonts w:ascii="Calibri" w:hAnsi="Calibri"/>
                <w:b/>
                <w:i w:val="0"/>
                <w:color w:val="000000"/>
                <w:sz w:val="14"/>
              </w:rPr>
              <w:t>Material</w:t>
            </w:r>
          </w:p>
        </w:tc>
        <w:tc>
          <w:tcPr>
            <w:shd w:val="clear" w:color="auto" w:fill="D9E2F3"/>
            <w:tcW w:type="dxa" w:w="1972"/>
          </w:tcPr>
          <w:p>
            <w:r/>
            <w:r>
              <w:rPr>
                <w:rFonts w:ascii="Calibri" w:hAnsi="Calibri"/>
                <w:b/>
                <w:i w:val="0"/>
                <w:color w:val="000000"/>
                <w:sz w:val="22"/>
              </w:rPr>
              <w:t>Температура</w:t>
            </w:r>
            <w:r>
              <w:rPr>
                <w:rFonts w:ascii="Calibri" w:hAnsi="Calibri"/>
                <w:b w:val="0"/>
                <w:i w:val="0"/>
                <w:color w:val="000000"/>
                <w:sz w:val="14"/>
              </w:rPr>
              <w:t xml:space="preserve"> | </w:t>
            </w:r>
            <w:r>
              <w:rPr>
                <w:rFonts w:ascii="Calibri" w:hAnsi="Calibri"/>
                <w:b/>
                <w:i w:val="0"/>
                <w:color w:val="000000"/>
                <w:sz w:val="14"/>
              </w:rPr>
              <w:t>Temperature</w:t>
            </w:r>
          </w:p>
        </w:tc>
        <w:tc>
          <w:tcPr>
            <w:shd w:val="clear" w:color="auto" w:fill="D9E2F3"/>
            <w:tcW w:type="dxa" w:w="802"/>
          </w:tcPr>
          <w:p>
            <w:r/>
            <w:r>
              <w:rPr>
                <w:rFonts w:ascii="Calibri" w:hAnsi="Calibri"/>
                <w:b/>
                <w:i w:val="0"/>
                <w:color w:val="000000"/>
                <w:sz w:val="22"/>
              </w:rPr>
              <w:t>Влага</w:t>
            </w:r>
            <w:r>
              <w:rPr>
                <w:rFonts w:ascii="Calibri" w:hAnsi="Calibri"/>
                <w:b w:val="0"/>
                <w:i w:val="0"/>
                <w:color w:val="000000"/>
                <w:sz w:val="14"/>
              </w:rPr>
              <w:t xml:space="preserve"> | </w:t>
            </w:r>
            <w:r>
              <w:rPr>
                <w:rFonts w:ascii="Calibri" w:hAnsi="Calibri"/>
                <w:b/>
                <w:i w:val="0"/>
                <w:color w:val="000000"/>
                <w:sz w:val="14"/>
              </w:rPr>
              <w:t>Humidity</w:t>
            </w:r>
          </w:p>
        </w:tc>
        <w:tc>
          <w:tcPr>
            <w:shd w:val="clear" w:color="auto" w:fill="D9E2F3"/>
            <w:tcW w:type="dxa" w:w="2564"/>
          </w:tcPr>
          <w:p>
            <w:r/>
            <w:r>
              <w:rPr>
                <w:rFonts w:ascii="Calibri" w:hAnsi="Calibri"/>
                <w:b/>
                <w:i w:val="0"/>
                <w:color w:val="000000"/>
                <w:sz w:val="22"/>
              </w:rPr>
              <w:t>Логер</w:t>
            </w:r>
            <w:r>
              <w:rPr>
                <w:rFonts w:ascii="Calibri" w:hAnsi="Calibri"/>
                <w:b w:val="0"/>
                <w:i w:val="0"/>
                <w:color w:val="000000"/>
                <w:sz w:val="14"/>
              </w:rPr>
              <w:t xml:space="preserve"> | </w:t>
            </w:r>
            <w:r>
              <w:rPr>
                <w:rFonts w:ascii="Calibri" w:hAnsi="Calibri"/>
                <w:b/>
                <w:i w:val="0"/>
                <w:color w:val="000000"/>
                <w:sz w:val="14"/>
              </w:rPr>
              <w:t>Logger</w:t>
            </w:r>
          </w:p>
        </w:tc>
        <w:tc>
          <w:tcPr>
            <w:shd w:val="clear" w:color="auto" w:fill="D9E2F3"/>
            <w:tcW w:type="dxa" w:w="2564"/>
          </w:tcPr>
          <w:p>
            <w:r/>
            <w:r>
              <w:rPr>
                <w:rFonts w:ascii="Calibri" w:hAnsi="Calibri"/>
                <w:b/>
                <w:i w:val="0"/>
                <w:color w:val="000000"/>
                <w:sz w:val="22"/>
              </w:rPr>
              <w:t>Пакување</w:t>
            </w:r>
            <w:r>
              <w:rPr>
                <w:rFonts w:ascii="Calibri" w:hAnsi="Calibri"/>
                <w:b w:val="0"/>
                <w:i w:val="0"/>
                <w:color w:val="000000"/>
                <w:sz w:val="14"/>
              </w:rPr>
              <w:t xml:space="preserve"> | </w:t>
            </w:r>
            <w:r>
              <w:rPr>
                <w:rFonts w:ascii="Calibri" w:hAnsi="Calibri"/>
                <w:b/>
                <w:i w:val="0"/>
                <w:color w:val="000000"/>
                <w:sz w:val="14"/>
              </w:rPr>
              <w:t>Packaging</w:t>
            </w:r>
          </w:p>
        </w:tc>
      </w:tr>
      <w:tr>
        <w:tc>
          <w:tcPr>
            <w:tcW w:type="dxa" w:w="2564"/>
          </w:tcPr>
          <w:p>
            <w:r/>
            <w:r>
              <w:rPr>
                <w:rFonts w:ascii="Calibri" w:hAnsi="Calibri"/>
                <w:b w:val="0"/>
                <w:i w:val="0"/>
                <w:color w:val="000000"/>
                <w:sz w:val="22"/>
              </w:rPr>
              <w:t>Готов производ — сув цвет</w:t>
            </w:r>
            <w:r>
              <w:rPr>
                <w:rFonts w:ascii="Calibri" w:hAnsi="Calibri"/>
                <w:b w:val="0"/>
                <w:i w:val="0"/>
                <w:color w:val="000000"/>
                <w:sz w:val="14"/>
              </w:rPr>
              <w:t xml:space="preserve"> | </w:t>
            </w:r>
            <w:r>
              <w:rPr>
                <w:rFonts w:ascii="Calibri" w:hAnsi="Calibri"/>
                <w:b w:val="0"/>
                <w:i w:val="0"/>
                <w:color w:val="000000"/>
                <w:sz w:val="14"/>
              </w:rPr>
              <w:t>Finished product — dried flower</w:t>
            </w:r>
          </w:p>
        </w:tc>
        <w:tc>
          <w:tcPr>
            <w:tcW w:type="dxa" w:w="1972"/>
          </w:tcPr>
          <w:p>
            <w:r/>
            <w:r>
              <w:rPr>
                <w:rFonts w:ascii="Calibri" w:hAnsi="Calibri"/>
                <w:b w:val="0"/>
                <w:i w:val="0"/>
                <w:color w:val="000000"/>
                <w:sz w:val="22"/>
              </w:rPr>
              <w:t>15–25 °C</w:t>
            </w:r>
            <w:r>
              <w:rPr>
                <w:rFonts w:ascii="Calibri" w:hAnsi="Calibri"/>
                <w:b w:val="0"/>
                <w:i w:val="0"/>
                <w:color w:val="000000"/>
                <w:sz w:val="14"/>
              </w:rPr>
            </w:r>
          </w:p>
        </w:tc>
        <w:tc>
          <w:tcPr>
            <w:tcW w:type="dxa" w:w="802"/>
          </w:tcPr>
          <w:p>
            <w:r/>
            <w:r>
              <w:rPr>
                <w:rFonts w:ascii="Calibri" w:hAnsi="Calibri"/>
                <w:b w:val="0"/>
                <w:i w:val="0"/>
                <w:color w:val="000000"/>
                <w:sz w:val="22"/>
              </w:rPr>
              <w:t>RH ≤ 60 %</w:t>
            </w:r>
            <w:r>
              <w:rPr>
                <w:rFonts w:ascii="Calibri" w:hAnsi="Calibri"/>
                <w:b w:val="0"/>
                <w:i w:val="0"/>
                <w:color w:val="000000"/>
                <w:sz w:val="14"/>
              </w:rPr>
            </w:r>
          </w:p>
        </w:tc>
        <w:tc>
          <w:tcPr>
            <w:tcW w:type="dxa" w:w="2564"/>
          </w:tcPr>
          <w:p>
            <w:r/>
            <w:r>
              <w:rPr>
                <w:rFonts w:ascii="Calibri" w:hAnsi="Calibri"/>
                <w:b w:val="0"/>
                <w:i w:val="0"/>
                <w:color w:val="000000"/>
                <w:sz w:val="22"/>
              </w:rPr>
              <w:t>1 по пратка, интервал 5 мин</w:t>
            </w:r>
            <w:r>
              <w:rPr>
                <w:rFonts w:ascii="Calibri" w:hAnsi="Calibri"/>
                <w:b w:val="0"/>
                <w:i w:val="0"/>
                <w:color w:val="000000"/>
                <w:sz w:val="14"/>
              </w:rPr>
              <w:t xml:space="preserve"> | </w:t>
            </w:r>
            <w:r>
              <w:rPr>
                <w:rFonts w:ascii="Calibri" w:hAnsi="Calibri"/>
                <w:b w:val="0"/>
                <w:i w:val="0"/>
                <w:color w:val="000000"/>
                <w:sz w:val="14"/>
              </w:rPr>
              <w:t>1 per consignment, 5 min interval</w:t>
            </w:r>
          </w:p>
        </w:tc>
        <w:tc>
          <w:tcPr>
            <w:tcW w:type="dxa" w:w="2564"/>
          </w:tcPr>
          <w:p>
            <w:r/>
            <w:r>
              <w:rPr>
                <w:rFonts w:ascii="Calibri" w:hAnsi="Calibri"/>
                <w:b w:val="0"/>
                <w:i w:val="0"/>
                <w:color w:val="000000"/>
                <w:sz w:val="22"/>
              </w:rPr>
              <w:t>запечатени примарни кеси, кутија со UBID</w:t>
            </w:r>
            <w:r>
              <w:rPr>
                <w:rFonts w:ascii="Calibri" w:hAnsi="Calibri"/>
                <w:b w:val="0"/>
                <w:i w:val="0"/>
                <w:color w:val="000000"/>
                <w:sz w:val="14"/>
              </w:rPr>
              <w:t xml:space="preserve"> | </w:t>
            </w:r>
            <w:r>
              <w:rPr>
                <w:rFonts w:ascii="Calibri" w:hAnsi="Calibri"/>
                <w:b w:val="0"/>
                <w:i w:val="0"/>
                <w:color w:val="000000"/>
                <w:sz w:val="14"/>
              </w:rPr>
              <w:t>sealed primary bags, UBID box</w:t>
            </w:r>
          </w:p>
        </w:tc>
      </w:tr>
      <w:tr>
        <w:tc>
          <w:tcPr>
            <w:tcW w:type="dxa" w:w="2564"/>
          </w:tcPr>
          <w:p>
            <w:r/>
            <w:r>
              <w:rPr>
                <w:rFonts w:ascii="Calibri" w:hAnsi="Calibri"/>
                <w:b w:val="0"/>
                <w:i w:val="0"/>
                <w:color w:val="000000"/>
                <w:sz w:val="22"/>
              </w:rPr>
              <w:t>Меѓупроизвод</w:t>
            </w:r>
            <w:r>
              <w:rPr>
                <w:rFonts w:ascii="Calibri" w:hAnsi="Calibri"/>
                <w:b w:val="0"/>
                <w:i w:val="0"/>
                <w:color w:val="000000"/>
                <w:sz w:val="14"/>
              </w:rPr>
              <w:t xml:space="preserve"> | </w:t>
            </w:r>
            <w:r>
              <w:rPr>
                <w:rFonts w:ascii="Calibri" w:hAnsi="Calibri"/>
                <w:b w:val="0"/>
                <w:i w:val="0"/>
                <w:color w:val="000000"/>
                <w:sz w:val="14"/>
              </w:rPr>
              <w:t>Intermediate</w:t>
            </w:r>
          </w:p>
        </w:tc>
        <w:tc>
          <w:tcPr>
            <w:tcW w:type="dxa" w:w="1972"/>
          </w:tcPr>
          <w:p>
            <w:r/>
            <w:r>
              <w:rPr>
                <w:rFonts w:ascii="Calibri" w:hAnsi="Calibri"/>
                <w:b w:val="0"/>
                <w:i w:val="0"/>
                <w:color w:val="000000"/>
                <w:sz w:val="22"/>
              </w:rPr>
              <w:t>15–25 °C</w:t>
            </w:r>
            <w:r>
              <w:rPr>
                <w:rFonts w:ascii="Calibri" w:hAnsi="Calibri"/>
                <w:b w:val="0"/>
                <w:i w:val="0"/>
                <w:color w:val="000000"/>
                <w:sz w:val="14"/>
              </w:rPr>
            </w:r>
          </w:p>
        </w:tc>
        <w:tc>
          <w:tcPr>
            <w:tcW w:type="dxa" w:w="802"/>
          </w:tcPr>
          <w:p>
            <w:r/>
            <w:r>
              <w:rPr>
                <w:rFonts w:ascii="Calibri" w:hAnsi="Calibri"/>
                <w:b w:val="0"/>
                <w:i w:val="0"/>
                <w:color w:val="000000"/>
                <w:sz w:val="22"/>
              </w:rPr>
              <w:t>RH ≤ 60 %</w:t>
            </w:r>
            <w:r>
              <w:rPr>
                <w:rFonts w:ascii="Calibri" w:hAnsi="Calibri"/>
                <w:b w:val="0"/>
                <w:i w:val="0"/>
                <w:color w:val="000000"/>
                <w:sz w:val="14"/>
              </w:rPr>
            </w:r>
          </w:p>
        </w:tc>
        <w:tc>
          <w:tcPr>
            <w:tcW w:type="dxa" w:w="2564"/>
          </w:tcPr>
          <w:p>
            <w:r/>
            <w:r>
              <w:rPr>
                <w:rFonts w:ascii="Calibri" w:hAnsi="Calibri"/>
                <w:b w:val="0"/>
                <w:i w:val="0"/>
                <w:color w:val="000000"/>
                <w:sz w:val="22"/>
              </w:rPr>
              <w:t>1 по пратка</w:t>
            </w:r>
            <w:r>
              <w:rPr>
                <w:rFonts w:ascii="Calibri" w:hAnsi="Calibri"/>
                <w:b w:val="0"/>
                <w:i w:val="0"/>
                <w:color w:val="000000"/>
                <w:sz w:val="14"/>
              </w:rPr>
              <w:t xml:space="preserve"> | </w:t>
            </w:r>
            <w:r>
              <w:rPr>
                <w:rFonts w:ascii="Calibri" w:hAnsi="Calibri"/>
                <w:b w:val="0"/>
                <w:i w:val="0"/>
                <w:color w:val="000000"/>
                <w:sz w:val="14"/>
              </w:rPr>
              <w:t>1 per consignment</w:t>
            </w:r>
          </w:p>
        </w:tc>
        <w:tc>
          <w:tcPr>
            <w:tcW w:type="dxa" w:w="2564"/>
          </w:tcPr>
          <w:p>
            <w:r/>
            <w:r>
              <w:rPr>
                <w:rFonts w:ascii="Calibri" w:hAnsi="Calibri"/>
                <w:b w:val="0"/>
                <w:i w:val="0"/>
                <w:color w:val="000000"/>
                <w:sz w:val="22"/>
              </w:rPr>
              <w:t>двојна кеса, цврст контејнер</w:t>
            </w:r>
            <w:r>
              <w:rPr>
                <w:rFonts w:ascii="Calibri" w:hAnsi="Calibri"/>
                <w:b w:val="0"/>
                <w:i w:val="0"/>
                <w:color w:val="000000"/>
                <w:sz w:val="14"/>
              </w:rPr>
              <w:t xml:space="preserve"> | </w:t>
            </w:r>
            <w:r>
              <w:rPr>
                <w:rFonts w:ascii="Calibri" w:hAnsi="Calibri"/>
                <w:b w:val="0"/>
                <w:i w:val="0"/>
                <w:color w:val="000000"/>
                <w:sz w:val="14"/>
              </w:rPr>
              <w:t>double bag, rigid container</w:t>
            </w:r>
          </w:p>
        </w:tc>
      </w:tr>
      <w:tr>
        <w:tc>
          <w:tcPr>
            <w:tcW w:type="dxa" w:w="2564"/>
          </w:tcPr>
          <w:p>
            <w:r/>
            <w:r>
              <w:rPr>
                <w:rFonts w:ascii="Calibri" w:hAnsi="Calibri"/>
                <w:b w:val="0"/>
                <w:i w:val="0"/>
                <w:color w:val="000000"/>
                <w:sz w:val="22"/>
              </w:rPr>
              <w:t>Мостри за КК</w:t>
            </w:r>
            <w:r>
              <w:rPr>
                <w:rFonts w:ascii="Calibri" w:hAnsi="Calibri"/>
                <w:b w:val="0"/>
                <w:i w:val="0"/>
                <w:color w:val="000000"/>
                <w:sz w:val="14"/>
              </w:rPr>
              <w:t xml:space="preserve"> | </w:t>
            </w:r>
            <w:r>
              <w:rPr>
                <w:rFonts w:ascii="Calibri" w:hAnsi="Calibri"/>
                <w:b w:val="0"/>
                <w:i w:val="0"/>
                <w:color w:val="000000"/>
                <w:sz w:val="14"/>
              </w:rPr>
              <w:t>QC samples</w:t>
            </w:r>
          </w:p>
        </w:tc>
        <w:tc>
          <w:tcPr>
            <w:tcW w:type="dxa" w:w="1972"/>
          </w:tcPr>
          <w:p>
            <w:r/>
            <w:r>
              <w:rPr>
                <w:rFonts w:ascii="Calibri" w:hAnsi="Calibri"/>
                <w:b w:val="0"/>
                <w:i w:val="0"/>
                <w:color w:val="000000"/>
                <w:sz w:val="22"/>
              </w:rPr>
              <w:t>15–25 °C</w:t>
            </w:r>
            <w:r>
              <w:rPr>
                <w:rFonts w:ascii="Calibri" w:hAnsi="Calibri"/>
                <w:b w:val="0"/>
                <w:i w:val="0"/>
                <w:color w:val="000000"/>
                <w:sz w:val="14"/>
              </w:rPr>
            </w:r>
          </w:p>
        </w:tc>
        <w:tc>
          <w:tcPr>
            <w:tcW w:type="dxa" w:w="802"/>
          </w:tcPr>
          <w:p>
            <w:r/>
            <w:r>
              <w:rPr>
                <w:rFonts w:ascii="Calibri" w:hAnsi="Calibri"/>
                <w:b w:val="0"/>
                <w:i w:val="0"/>
                <w:color w:val="000000"/>
                <w:sz w:val="22"/>
              </w:rPr>
              <w:t>RH ≤ 60 %</w:t>
            </w:r>
            <w:r>
              <w:rPr>
                <w:rFonts w:ascii="Calibri" w:hAnsi="Calibri"/>
                <w:b w:val="0"/>
                <w:i w:val="0"/>
                <w:color w:val="000000"/>
                <w:sz w:val="14"/>
              </w:rPr>
            </w:r>
          </w:p>
        </w:tc>
        <w:tc>
          <w:tcPr>
            <w:tcW w:type="dxa" w:w="2564"/>
          </w:tcPr>
          <w:p>
            <w:r/>
            <w:r>
              <w:rPr>
                <w:rFonts w:ascii="Calibri" w:hAnsi="Calibri"/>
                <w:b w:val="0"/>
                <w:i w:val="0"/>
                <w:color w:val="000000"/>
                <w:sz w:val="22"/>
              </w:rPr>
              <w:t>1 по контејнер</w:t>
            </w:r>
            <w:r>
              <w:rPr>
                <w:rFonts w:ascii="Calibri" w:hAnsi="Calibri"/>
                <w:b w:val="0"/>
                <w:i w:val="0"/>
                <w:color w:val="000000"/>
                <w:sz w:val="14"/>
              </w:rPr>
              <w:t xml:space="preserve"> | </w:t>
            </w:r>
            <w:r>
              <w:rPr>
                <w:rFonts w:ascii="Calibri" w:hAnsi="Calibri"/>
                <w:b w:val="0"/>
                <w:i w:val="0"/>
                <w:color w:val="000000"/>
                <w:sz w:val="14"/>
              </w:rPr>
              <w:t>1 per container</w:t>
            </w:r>
          </w:p>
        </w:tc>
        <w:tc>
          <w:tcPr>
            <w:tcW w:type="dxa" w:w="2564"/>
          </w:tcPr>
          <w:p>
            <w:r/>
            <w:r>
              <w:rPr>
                <w:rFonts w:ascii="Calibri" w:hAnsi="Calibri"/>
                <w:b w:val="0"/>
                <w:i w:val="0"/>
                <w:color w:val="000000"/>
                <w:sz w:val="22"/>
              </w:rPr>
              <w:t>тројно пакување (6.4)</w:t>
            </w:r>
            <w:r>
              <w:rPr>
                <w:rFonts w:ascii="Calibri" w:hAnsi="Calibri"/>
                <w:b w:val="0"/>
                <w:i w:val="0"/>
                <w:color w:val="000000"/>
                <w:sz w:val="14"/>
              </w:rPr>
              <w:t xml:space="preserve"> | </w:t>
            </w:r>
            <w:r>
              <w:rPr>
                <w:rFonts w:ascii="Calibri" w:hAnsi="Calibri"/>
                <w:b w:val="0"/>
                <w:i w:val="0"/>
                <w:color w:val="000000"/>
                <w:sz w:val="14"/>
              </w:rPr>
              <w:t>triple packaging (6.4)</w:t>
            </w:r>
          </w:p>
        </w:tc>
      </w:tr>
      <w:tr>
        <w:tc>
          <w:tcPr>
            <w:tcW w:type="dxa" w:w="2564"/>
          </w:tcPr>
          <w:p>
            <w:r/>
            <w:r>
              <w:rPr>
                <w:rFonts w:ascii="Calibri" w:hAnsi="Calibri"/>
                <w:b w:val="0"/>
                <w:i w:val="0"/>
                <w:color w:val="000000"/>
                <w:sz w:val="22"/>
              </w:rPr>
              <w:t>Клонови</w:t>
            </w:r>
            <w:r>
              <w:rPr>
                <w:rFonts w:ascii="Calibri" w:hAnsi="Calibri"/>
                <w:b w:val="0"/>
                <w:i w:val="0"/>
                <w:color w:val="000000"/>
                <w:sz w:val="14"/>
              </w:rPr>
              <w:t xml:space="preserve"> | </w:t>
            </w:r>
            <w:r>
              <w:rPr>
                <w:rFonts w:ascii="Calibri" w:hAnsi="Calibri"/>
                <w:b w:val="0"/>
                <w:i w:val="0"/>
                <w:color w:val="000000"/>
                <w:sz w:val="14"/>
              </w:rPr>
              <w:t>Clones</w:t>
            </w:r>
          </w:p>
        </w:tc>
        <w:tc>
          <w:tcPr>
            <w:tcW w:type="dxa" w:w="1972"/>
          </w:tcPr>
          <w:p>
            <w:r/>
            <w:r>
              <w:rPr>
                <w:rFonts w:ascii="Calibri" w:hAnsi="Calibri"/>
                <w:b w:val="0"/>
                <w:i w:val="0"/>
                <w:color w:val="000000"/>
                <w:sz w:val="22"/>
              </w:rPr>
              <w:t>+2 до +8 °C</w:t>
            </w:r>
            <w:r>
              <w:rPr>
                <w:rFonts w:ascii="Calibri" w:hAnsi="Calibri"/>
                <w:b w:val="0"/>
                <w:i w:val="0"/>
                <w:color w:val="000000"/>
                <w:sz w:val="14"/>
              </w:rPr>
              <w:t xml:space="preserve"> | </w:t>
            </w:r>
            <w:r>
              <w:rPr>
                <w:rFonts w:ascii="Calibri" w:hAnsi="Calibri"/>
                <w:b w:val="0"/>
                <w:i w:val="0"/>
                <w:color w:val="000000"/>
                <w:sz w:val="14"/>
              </w:rPr>
              <w:t>+2 to +8 °C</w:t>
            </w:r>
          </w:p>
        </w:tc>
        <w:tc>
          <w:tcPr>
            <w:tcW w:type="dxa" w:w="802"/>
          </w:tcPr>
          <w:p>
            <w:r/>
            <w:r>
              <w:rPr>
                <w:rFonts w:ascii="Calibri" w:hAnsi="Calibri"/>
                <w:b w:val="0"/>
                <w:i w:val="0"/>
                <w:color w:val="000000"/>
                <w:sz w:val="22"/>
              </w:rPr>
              <w:t>—</w:t>
            </w:r>
            <w:r>
              <w:rPr>
                <w:rFonts w:ascii="Calibri" w:hAnsi="Calibri"/>
                <w:b w:val="0"/>
                <w:i w:val="0"/>
                <w:color w:val="000000"/>
                <w:sz w:val="14"/>
              </w:rPr>
            </w:r>
          </w:p>
        </w:tc>
        <w:tc>
          <w:tcPr>
            <w:tcW w:type="dxa" w:w="2564"/>
          </w:tcPr>
          <w:p>
            <w:r/>
            <w:r>
              <w:rPr>
                <w:rFonts w:ascii="Calibri" w:hAnsi="Calibri"/>
                <w:b w:val="0"/>
                <w:i w:val="0"/>
                <w:color w:val="000000"/>
                <w:sz w:val="22"/>
              </w:rPr>
              <w:t>2 (производ + амбиент)</w:t>
            </w:r>
            <w:r>
              <w:rPr>
                <w:rFonts w:ascii="Calibri" w:hAnsi="Calibri"/>
                <w:b w:val="0"/>
                <w:i w:val="0"/>
                <w:color w:val="000000"/>
                <w:sz w:val="14"/>
              </w:rPr>
              <w:t xml:space="preserve"> | </w:t>
            </w:r>
            <w:r>
              <w:rPr>
                <w:rFonts w:ascii="Calibri" w:hAnsi="Calibri"/>
                <w:b w:val="0"/>
                <w:i w:val="0"/>
                <w:color w:val="000000"/>
                <w:sz w:val="14"/>
              </w:rPr>
              <w:t>2 (product + ambient)</w:t>
            </w:r>
          </w:p>
        </w:tc>
        <w:tc>
          <w:tcPr>
            <w:tcW w:type="dxa" w:w="2564"/>
          </w:tcPr>
          <w:p>
            <w:r/>
            <w:r>
              <w:rPr>
                <w:rFonts w:ascii="Calibri" w:hAnsi="Calibri"/>
                <w:b w:val="0"/>
                <w:i w:val="0"/>
                <w:color w:val="000000"/>
                <w:sz w:val="22"/>
              </w:rPr>
              <w:t>квалификуван ладилник</w:t>
            </w:r>
            <w:r>
              <w:rPr>
                <w:rFonts w:ascii="Calibri" w:hAnsi="Calibri"/>
                <w:b w:val="0"/>
                <w:i w:val="0"/>
                <w:color w:val="000000"/>
                <w:sz w:val="14"/>
              </w:rPr>
              <w:t xml:space="preserve"> | </w:t>
            </w:r>
            <w:r>
              <w:rPr>
                <w:rFonts w:ascii="Calibri" w:hAnsi="Calibri"/>
                <w:b w:val="0"/>
                <w:i w:val="0"/>
                <w:color w:val="000000"/>
                <w:sz w:val="14"/>
              </w:rPr>
              <w:t>qualified cool box</w:t>
            </w:r>
          </w:p>
        </w:tc>
      </w:tr>
      <w:tr>
        <w:tc>
          <w:tcPr>
            <w:tcW w:type="dxa" w:w="2564"/>
          </w:tcPr>
          <w:p>
            <w:r/>
            <w:r>
              <w:rPr>
                <w:rFonts w:ascii="Calibri" w:hAnsi="Calibri"/>
                <w:b w:val="0"/>
                <w:i w:val="0"/>
                <w:color w:val="000000"/>
                <w:sz w:val="22"/>
              </w:rPr>
              <w:t>Семе</w:t>
            </w:r>
            <w:r>
              <w:rPr>
                <w:rFonts w:ascii="Calibri" w:hAnsi="Calibri"/>
                <w:b w:val="0"/>
                <w:i w:val="0"/>
                <w:color w:val="000000"/>
                <w:sz w:val="14"/>
              </w:rPr>
              <w:t xml:space="preserve"> | </w:t>
            </w:r>
            <w:r>
              <w:rPr>
                <w:rFonts w:ascii="Calibri" w:hAnsi="Calibri"/>
                <w:b w:val="0"/>
                <w:i w:val="0"/>
                <w:color w:val="000000"/>
                <w:sz w:val="14"/>
              </w:rPr>
              <w:t>Seeds</w:t>
            </w:r>
          </w:p>
        </w:tc>
        <w:tc>
          <w:tcPr>
            <w:tcW w:type="dxa" w:w="1972"/>
          </w:tcPr>
          <w:p>
            <w:r/>
            <w:r>
              <w:rPr>
                <w:rFonts w:ascii="Calibri" w:hAnsi="Calibri"/>
                <w:b w:val="0"/>
                <w:i w:val="0"/>
                <w:color w:val="000000"/>
                <w:sz w:val="22"/>
              </w:rPr>
              <w:t>5–20 °C</w:t>
            </w:r>
            <w:r>
              <w:rPr>
                <w:rFonts w:ascii="Calibri" w:hAnsi="Calibri"/>
                <w:b w:val="0"/>
                <w:i w:val="0"/>
                <w:color w:val="000000"/>
                <w:sz w:val="14"/>
              </w:rPr>
            </w:r>
          </w:p>
        </w:tc>
        <w:tc>
          <w:tcPr>
            <w:tcW w:type="dxa" w:w="802"/>
          </w:tcPr>
          <w:p>
            <w:r/>
            <w:r>
              <w:rPr>
                <w:rFonts w:ascii="Calibri" w:hAnsi="Calibri"/>
                <w:b w:val="0"/>
                <w:i w:val="0"/>
                <w:color w:val="000000"/>
                <w:sz w:val="22"/>
              </w:rPr>
              <w:t>RH ≤ 60 %</w:t>
            </w:r>
            <w:r>
              <w:rPr>
                <w:rFonts w:ascii="Calibri" w:hAnsi="Calibri"/>
                <w:b w:val="0"/>
                <w:i w:val="0"/>
                <w:color w:val="000000"/>
                <w:sz w:val="14"/>
              </w:rPr>
            </w:r>
          </w:p>
        </w:tc>
        <w:tc>
          <w:tcPr>
            <w:tcW w:type="dxa" w:w="2564"/>
          </w:tcPr>
          <w:p>
            <w:r/>
            <w:r>
              <w:rPr>
                <w:rFonts w:ascii="Calibri" w:hAnsi="Calibri"/>
                <w:b w:val="0"/>
                <w:i w:val="0"/>
                <w:color w:val="000000"/>
                <w:sz w:val="22"/>
              </w:rPr>
              <w:t>1 по пратка</w:t>
            </w:r>
            <w:r>
              <w:rPr>
                <w:rFonts w:ascii="Calibri" w:hAnsi="Calibri"/>
                <w:b w:val="0"/>
                <w:i w:val="0"/>
                <w:color w:val="000000"/>
                <w:sz w:val="14"/>
              </w:rPr>
              <w:t xml:space="preserve"> | </w:t>
            </w:r>
            <w:r>
              <w:rPr>
                <w:rFonts w:ascii="Calibri" w:hAnsi="Calibri"/>
                <w:b w:val="0"/>
                <w:i w:val="0"/>
                <w:color w:val="000000"/>
                <w:sz w:val="14"/>
              </w:rPr>
              <w:t>1 per consignment</w:t>
            </w:r>
          </w:p>
        </w:tc>
        <w:tc>
          <w:tcPr>
            <w:tcW w:type="dxa" w:w="2564"/>
          </w:tcPr>
          <w:p>
            <w:r/>
            <w:r>
              <w:rPr>
                <w:rFonts w:ascii="Calibri" w:hAnsi="Calibri"/>
                <w:b w:val="0"/>
                <w:i w:val="0"/>
                <w:color w:val="000000"/>
                <w:sz w:val="22"/>
              </w:rPr>
              <w:t>херметичка амбалажа</w:t>
            </w:r>
            <w:r>
              <w:rPr>
                <w:rFonts w:ascii="Calibri" w:hAnsi="Calibri"/>
                <w:b w:val="0"/>
                <w:i w:val="0"/>
                <w:color w:val="000000"/>
                <w:sz w:val="14"/>
              </w:rPr>
              <w:t xml:space="preserve"> | </w:t>
            </w:r>
            <w:r>
              <w:rPr>
                <w:rFonts w:ascii="Calibri" w:hAnsi="Calibri"/>
                <w:b w:val="0"/>
                <w:i w:val="0"/>
                <w:color w:val="000000"/>
                <w:sz w:val="14"/>
              </w:rPr>
              <w:t>airtight container</w:t>
            </w:r>
          </w:p>
        </w:tc>
      </w:tr>
      <w:tr>
        <w:tc>
          <w:tcPr>
            <w:tcW w:type="dxa" w:w="2564"/>
          </w:tcPr>
          <w:p>
            <w:r/>
            <w:r>
              <w:rPr>
                <w:rFonts w:ascii="Calibri" w:hAnsi="Calibri"/>
                <w:b w:val="0"/>
                <w:i w:val="0"/>
                <w:color w:val="000000"/>
                <w:sz w:val="22"/>
              </w:rPr>
              <w:t>Отпад за уништување</w:t>
            </w:r>
            <w:r>
              <w:rPr>
                <w:rFonts w:ascii="Calibri" w:hAnsi="Calibri"/>
                <w:b w:val="0"/>
                <w:i w:val="0"/>
                <w:color w:val="000000"/>
                <w:sz w:val="14"/>
              </w:rPr>
              <w:t xml:space="preserve"> | </w:t>
            </w:r>
            <w:r>
              <w:rPr>
                <w:rFonts w:ascii="Calibri" w:hAnsi="Calibri"/>
                <w:b w:val="0"/>
                <w:i w:val="0"/>
                <w:color w:val="000000"/>
                <w:sz w:val="14"/>
              </w:rPr>
              <w:t>Waste for destruction</w:t>
            </w:r>
          </w:p>
        </w:tc>
        <w:tc>
          <w:tcPr>
            <w:tcW w:type="dxa" w:w="1972"/>
          </w:tcPr>
          <w:p>
            <w:r/>
            <w:r>
              <w:rPr>
                <w:rFonts w:ascii="Calibri" w:hAnsi="Calibri"/>
                <w:b w:val="0"/>
                <w:i w:val="0"/>
                <w:color w:val="000000"/>
                <w:sz w:val="22"/>
              </w:rPr>
              <w:t>не е критична</w:t>
            </w:r>
            <w:r>
              <w:rPr>
                <w:rFonts w:ascii="Calibri" w:hAnsi="Calibri"/>
                <w:b w:val="0"/>
                <w:i w:val="0"/>
                <w:color w:val="000000"/>
                <w:sz w:val="14"/>
              </w:rPr>
              <w:t xml:space="preserve"> | </w:t>
            </w:r>
            <w:r>
              <w:rPr>
                <w:rFonts w:ascii="Calibri" w:hAnsi="Calibri"/>
                <w:b w:val="0"/>
                <w:i w:val="0"/>
                <w:color w:val="000000"/>
                <w:sz w:val="14"/>
              </w:rPr>
              <w:t>not critical</w:t>
            </w:r>
          </w:p>
        </w:tc>
        <w:tc>
          <w:tcPr>
            <w:tcW w:type="dxa" w:w="802"/>
          </w:tcPr>
          <w:p>
            <w:r/>
            <w:r>
              <w:rPr>
                <w:rFonts w:ascii="Calibri" w:hAnsi="Calibri"/>
                <w:b w:val="0"/>
                <w:i w:val="0"/>
                <w:color w:val="000000"/>
                <w:sz w:val="22"/>
              </w:rPr>
              <w:t>—</w:t>
            </w:r>
            <w:r>
              <w:rPr>
                <w:rFonts w:ascii="Calibri" w:hAnsi="Calibri"/>
                <w:b w:val="0"/>
                <w:i w:val="0"/>
                <w:color w:val="000000"/>
                <w:sz w:val="14"/>
              </w:rPr>
            </w:r>
          </w:p>
        </w:tc>
        <w:tc>
          <w:tcPr>
            <w:tcW w:type="dxa" w:w="2564"/>
          </w:tcPr>
          <w:p>
            <w:r/>
            <w:r>
              <w:rPr>
                <w:rFonts w:ascii="Calibri" w:hAnsi="Calibri"/>
                <w:b w:val="0"/>
                <w:i w:val="0"/>
                <w:color w:val="000000"/>
                <w:sz w:val="22"/>
              </w:rPr>
              <w:t>не е задолжителен</w:t>
            </w:r>
            <w:r>
              <w:rPr>
                <w:rFonts w:ascii="Calibri" w:hAnsi="Calibri"/>
                <w:b w:val="0"/>
                <w:i w:val="0"/>
                <w:color w:val="000000"/>
                <w:sz w:val="14"/>
              </w:rPr>
              <w:t xml:space="preserve"> | </w:t>
            </w:r>
            <w:r>
              <w:rPr>
                <w:rFonts w:ascii="Calibri" w:hAnsi="Calibri"/>
                <w:b w:val="0"/>
                <w:i w:val="0"/>
                <w:color w:val="000000"/>
                <w:sz w:val="14"/>
              </w:rPr>
              <w:t>not required</w:t>
            </w:r>
          </w:p>
        </w:tc>
        <w:tc>
          <w:tcPr>
            <w:tcW w:type="dxa" w:w="2564"/>
          </w:tcPr>
          <w:p>
            <w:r/>
            <w:r>
              <w:rPr>
                <w:rFonts w:ascii="Calibri" w:hAnsi="Calibri"/>
                <w:b w:val="0"/>
                <w:i w:val="0"/>
                <w:color w:val="000000"/>
                <w:sz w:val="22"/>
              </w:rPr>
              <w:t>запечатени вреќи, записник</w:t>
            </w:r>
            <w:r>
              <w:rPr>
                <w:rFonts w:ascii="Calibri" w:hAnsi="Calibri"/>
                <w:b w:val="0"/>
                <w:i w:val="0"/>
                <w:color w:val="000000"/>
                <w:sz w:val="14"/>
              </w:rPr>
              <w:t xml:space="preserve"> | </w:t>
            </w:r>
            <w:r>
              <w:rPr>
                <w:rFonts w:ascii="Calibri" w:hAnsi="Calibri"/>
                <w:b w:val="0"/>
                <w:i w:val="0"/>
                <w:color w:val="000000"/>
                <w:sz w:val="14"/>
              </w:rPr>
              <w:t>sealed sacks, record</w:t>
            </w:r>
          </w:p>
        </w:tc>
      </w:tr>
    </w:tbl>
    <w:tbl>
      <w:tblPr>
        <w:tblW w:type="auto" w:w="0"/>
        <w:jc w:val="center"/>
        <w:tblLayout w:type="fixed"/>
        <w:tblLook w:firstColumn="1" w:firstRow="1" w:lastColumn="0" w:lastRow="0" w:noHBand="0" w:noVBand="1" w:val="04A0"/>
        <w:tblLayout w:type="fixed"/>
      </w:tblPr>
      <w:tblGrid>
        <w:gridCol w:w="5233"/>
        <w:gridCol w:w="5233"/>
      </w:tblGrid>
      <w:tr>
        <w:tc>
          <w:tcPr>
            <w:tcW w:type="dxa" w:w="5102"/>
            <w:tcBorders>
              <w:top w:val="nil"/>
              <w:left w:val="nil"/>
              <w:bottom w:val="nil"/>
              <w:right w:val="single" w:sz="4" w:color="000000"/>
            </w:tcBorders>
          </w:tcPr>
          <w:p>
            <w:pPr>
              <w:pStyle w:val="Heading2"/>
            </w:pPr>
            <w:r/>
            <w:r>
              <w:rPr>
                <w:rFonts w:ascii="Calibri" w:hAnsi="Calibri"/>
                <w:b/>
                <w:i w:val="0"/>
                <w:color w:val="000000"/>
                <w:sz w:val="22"/>
              </w:rPr>
              <w:t>6.2 Фаза 1 — Планирање и процена на ризик</w:t>
            </w:r>
          </w:p>
        </w:tc>
        <w:tc>
          <w:tcPr>
            <w:tcW w:type="dxa" w:w="5102"/>
            <w:tcBorders>
              <w:top w:val="nil"/>
              <w:left w:val="single" w:sz="4" w:color="000000"/>
              <w:bottom w:val="nil"/>
              <w:right w:val="nil"/>
            </w:tcBorders>
          </w:tcPr>
          <w:p>
            <w:r/>
            <w:r>
              <w:rPr>
                <w:rFonts w:ascii="Calibri" w:hAnsi="Calibri"/>
                <w:b/>
                <w:i w:val="0"/>
                <w:color w:val="595959"/>
                <w:sz w:val="22"/>
              </w:rPr>
              <w:t>6.2 Stage 1 — Planning and risk assessment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6.2.1 Иницијаторот (Логистика за производ, КК за мостри, Култивација за пропагационен материјал) го пријавува барањето до Сектор Обезбедување најмалку 5 работни дена пред планираниот датум, со: вид и количина на материјал (нето маса во грамови), примач, планиран датум и посебни услови.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6.2.1 The initiator (Logistics for product, QC for samples, Cultivation for propagation material) submits the request to Security at least 5 working days before the planned date, stating: type and quantity of material (net mass in grams), consignee, planned date and special conditions.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6.2.2 Сектор Обезбедување проверува дали рутата е со статус QUALIFIED и важечка сезонска квалификација во QASOP_0XX_A06. Ако рутата не е квалификувана, транспортот не се изведува додека QA не одобри квалификација или документирана исклучителна мерка преку контрола на промени.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6.2.2 Security verifies that the lane holds QUALIFIED status and a valid seasonal qualification in QASOP_0XX_A06. If the lane is not qualified, the transport is not performed until QA approves a qualification or a documented exceptional measure via change control.</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6.2.3 Логистика генерира UTID и ја пополнува Процената на ризик од транспорт (WHSOP_003_A01): безбедност на патот, сезонска температура, времетраење, стабилност на материјалот, точки на запирање и мерки за намалување на ризикот. QA го одобрува TRA пред известувањата.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6.2.3 Logistics generates the UTID and completes the Transport Risk Assessment (WHSOP_003_A01): route security, seasonal temperature, duration, material stability, stopping points and mitigation measures. QA approves the TRA before the notifications.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6.2.4 Кај мостри, Раководителот на КК го потврдува со лабораторијата датумот и временскиот прозорец за прием, бараните анализи и критериумите за прифаќање на мострите.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6.2.4 For samples, the QC Head confirms with the laboratory the date and receipt time window, the analyses requested and the sample acceptance criteria.</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6.3 Фаза 2 — Регулаторни известувања (најмалку 24 часа пред отпремата)</w:t>
            </w:r>
          </w:p>
        </w:tc>
        <w:tc>
          <w:tcPr>
            <w:tcW w:type="dxa" w:w="5102"/>
            <w:tcBorders>
              <w:top w:val="nil"/>
              <w:left w:val="single" w:sz="4" w:color="000000"/>
              <w:bottom w:val="nil"/>
              <w:right w:val="nil"/>
            </w:tcBorders>
          </w:tcPr>
          <w:p>
            <w:r/>
            <w:r>
              <w:rPr>
                <w:rFonts w:ascii="Calibri" w:hAnsi="Calibri"/>
                <w:b/>
                <w:i w:val="0"/>
                <w:color w:val="595959"/>
                <w:sz w:val="22"/>
              </w:rPr>
              <w:t>6.3 Stage 2 — Regulatory notifications (at least 24 hours before dispatch)</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6.3.1 Сектор Обезбедување го пополнува Известувањето до МВР (WHSOP_003_A02) со: податоци за Пјурли Плант и број на дозвола, UTID, датум и време на поаѓање и очекувано пристигнување, адреса на испраќање и прием, намена, вкупна нето количина (g), број на контејнери, превозник, регистарски број на возилото, возачи и опис на рутата.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6.3.1 Security completes the MoIA Notification (WHSOP_003_A02) with: Purely Plant details and licence number, UTID, departure date/time and expected arrival, dispatch and receipt addresses, purpose, total net quantity (g), number of containers, carrier, vehicle registration, drivers and route description.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6.3.2 Известувањето се поднесува најмалку 24 часа пред поаѓањето (лично со заверка — препорачано, препорачана пошта со повратница или официјална е-пошта ако е прифатена). Писмената потврда од МВР (заверка или допис) е ЗАДОЛЖИТЕЛНА пред отпремата; ако не е добиена, отпремата се одложува и се известува QP.</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6.3.2 The notification is submitted at least 24 hours before departure (in person with stamp — preferred, registered mail with return receipt, or official e-mail where accepted). Written MoIA confirmation (stamp or letter) is MANDATORY before dispatch; if it is not received, dispatch is postponed and the QP is informed.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6.3.3 Истовремено се поднесува Известувањето до договорната обезбедувачка компанија (WHSOP_003_A03); компанијата писмено ги потврдува возилото, GPS-уредот, посадата и времето на преземање.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6.3.3 At the same time the Notification to the contracted security company (WHSOP_003_A03) is submitted; the company confirms the vehicle, GPS unit, crew and pickup time in writing.</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6.4 Фаза 3 — Подготовка, пакување и означување</w:t>
            </w:r>
          </w:p>
        </w:tc>
        <w:tc>
          <w:tcPr>
            <w:tcW w:type="dxa" w:w="5102"/>
            <w:tcBorders>
              <w:top w:val="nil"/>
              <w:left w:val="single" w:sz="4" w:color="000000"/>
              <w:bottom w:val="nil"/>
              <w:right w:val="nil"/>
            </w:tcBorders>
          </w:tcPr>
          <w:p>
            <w:r/>
            <w:r>
              <w:rPr>
                <w:rFonts w:ascii="Calibri" w:hAnsi="Calibri"/>
                <w:b/>
                <w:i w:val="0"/>
                <w:color w:val="595959"/>
                <w:sz w:val="22"/>
              </w:rPr>
              <w:t>6.4 Stage 3 — Preparation, packaging and labelling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6.4.1 Материјалот се зема од складиштето во статус ОДОБРЕНО (производ) или со издаден број на мостра (мостри), со двојна проверка од две лица (идентитет, серија, нето маса, број на контејнери); двете лица потпишуваат во WHSOP_003_A04. При неусогласеност — СТОП, истрага и решавање пред продолжување.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6.4.1 The material is taken from storage in APPROVED status (product) or with an issued sample number (samples), with two-person verification (identity, batch, net mass, number of containers); both persons sign in WHSOP_003_A04. On any discrepancy — STOP, investigate and resolve before proceeding.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6.4.2 Тројно пакување за мостри: примарен контејнер (запечатен, означен); секундарно пакување (цврст контејнер или двојна кеса со амортизација, со Барањето за анализа WHSOP_003_A06 внатре); терцијарен контејнер (заклучлив транспортен куфер/квалификуван ладилник), запечатен со серијализирана пломба. За производ: запечатени примарни кеси во кутии означени со UBID (WHT 003), пломба по кутија и товарна пломба на просторот за товар.</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6.4.2 Triple packaging for samples: primary container (sealed, labelled); secondary packaging (rigid container or double bag with cushioning, with the Request for Analysis WHSOP_003_A06 inside); tertiary container (lockable transport case/qualified cool box) closed with a serialised seal. For product: sealed primary bags in UBID-labelled boxes (WHT 003), one seal per box and a cargo seal on the load space.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6.4.3 Логерот се активира, се проверува (интервал 5 мин, аларми на границите од 6.1, важечка калибрација) и се поставува во геометрискиот центар на товарот, без допир со ладилни елементи; серискиот број, датумот на калибрација и броевите на пломбите се запишуваат во WHSOP_003_A04.</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6.4.3 The logger is activated, checked (5 min interval, alarms at the limits in 6.1, valid calibration) and placed in the geometric centre of the load, not touching any coolant; the serial number, calibration date and seal numbers are recorded in WHSOP_003_A04.</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6.4.4 Надворешна ознака на терцијарниот контејнер: примач и испраќач со контакт, UTID (бар-код/QR), услови на чување, „ПРАТКА ПОД КОНТРОЛА — САМО ОВЛАСТЕН ТРАНСПОРТ“ и број за итни случаи 24/7. Надворешната ознака не го наведува содржаното во поширока смисла од потребното за испорака.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6.4.4 External label of the tertiary container: consignee and consignor with contact, UTID (barcode/QR), storage conditions, "CONTROLLED CONSIGNMENT — AUTHORISED TRANSPORT ONLY" and a 24/7 emergency number. The external label does not describe the contents beyond what delivery requires.</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6.5 Фаза 4 — Отпрема и почеток на ланецот на надзор</w:t>
            </w:r>
          </w:p>
        </w:tc>
        <w:tc>
          <w:tcPr>
            <w:tcW w:type="dxa" w:w="5102"/>
            <w:tcBorders>
              <w:top w:val="nil"/>
              <w:left w:val="single" w:sz="4" w:color="000000"/>
              <w:bottom w:val="nil"/>
              <w:right w:val="nil"/>
            </w:tcBorders>
          </w:tcPr>
          <w:p>
            <w:r/>
            <w:r>
              <w:rPr>
                <w:rFonts w:ascii="Calibri" w:hAnsi="Calibri"/>
                <w:b/>
                <w:i w:val="0"/>
                <w:color w:val="595959"/>
                <w:sz w:val="22"/>
              </w:rPr>
              <w:t>6.5 Stage 4 — Dispatch and start of the chain of custody</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6.5.1 Пред предавањето, Обезбедување и Логистика ја пополнуваат Чек-листата пред отпрема (WHSOP_003_A05, дел А): потврда од МВР, потврда од обезбедувањето, одобрен TRA, рута QUALIFIED, пакување и ознаки, пломби, логер, документи, идентитет на возачите и возилото, работа на GPS и на климатизацијата. Ако ЕДНА ставка не е потврдена, транспортот НЕ започнува.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6.5.1 Before hand-over, Security and Logistics complete the Pre-dispatch Checklist (WHSOP_003_A05, part A): MoIA confirmation, security company confirmation, approved TRA, lane QUALIFIED, packaging and labels, seals, logger, documents, identity of drivers and vehicle, GPS and climate-control operation. If ANY item is not confirmed, the transport does NOT start.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6.5.2 Возилото се проверува: регистарски број според A03, чист и заклучлив товарен простор, климатизација поставена на опсегот од 6.1 и претходно кондиционирана најмалку 30 минути, GPS тестиран со диспечерот. Посадата се брифира за рутата, временскиот прозорец, забраната за непланирани застанувања и протоколот за инциденти.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6.5.2 The vehicle is checked: registration as per A03, clean and lockable load space, climate control set to the range in 6.1 and pre-conditioned for at least 30 minutes, GPS tested with the dispatcher. The crew is briefed on the route, time window, prohibition of unscheduled stops and incident protocol.</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6.5.3 Товарот се обезбедува против поместување; се фотографира товарот и пломбата. Точка на предавање 1 (Пјурли Плант → возач) се потпишува во WHSOP_003_A04; Раководителот на Обезбедување ја одобрува отпремата и го евидентира времето на поаѓање.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6.5.3 The load is secured against movement; the load and seal are photographed. Transfer point 1 (Purely Plant → driver) is signed in WHSOP_003_A04; the Head of Security authorises dispatch and records the departure time.</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6.6 Фаза 5 — Контрола во транзит</w:t>
            </w:r>
          </w:p>
        </w:tc>
        <w:tc>
          <w:tcPr>
            <w:tcW w:type="dxa" w:w="5102"/>
            <w:tcBorders>
              <w:top w:val="nil"/>
              <w:left w:val="single" w:sz="4" w:color="000000"/>
              <w:bottom w:val="nil"/>
              <w:right w:val="nil"/>
            </w:tcBorders>
          </w:tcPr>
          <w:p>
            <w:r/>
            <w:r>
              <w:rPr>
                <w:rFonts w:ascii="Calibri" w:hAnsi="Calibri"/>
                <w:b/>
                <w:i w:val="0"/>
                <w:color w:val="595959"/>
                <w:sz w:val="22"/>
              </w:rPr>
              <w:t>6.6 Stage 5 — In-transit control</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6.6.1 Посадата ја следи одобрената рута без отстапување, не го остава возилото без надзор, застанува само на места одобрени во TRA и не ја открива содржината. Принудно отстапување (затворен пат, итност) веднаш се пријавува и се документира.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6.6.1 The crew follows the approved route without deviation, never leaves the vehicle unattended, stops only at points approved in the TRA and does not disclose the contents. Any forced deviation (road closure, emergency) is reported immediately and documented.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6.6.2 Сектор Обезбедување го следи GPS во реално време и евидентира контролни јавувања: поаѓање, средина на рутата (ако е над 2 часа), 15–30 мин пред пристигнување, пристигнување. По завршување се генерира GPS извештај за рутата.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6.6.2 Security monitors GPS in real time and records check-in calls: departure, mid-route (if over 2 hours), 15–30 min before arrival, arrival. On completion a GPS route report is generated.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6.6.3 Инциденти (температурна екскурзија, оштетена пломба, дефект, сообраќајна незгода, доцнење над 2 часа, безбедносен инцидент) се пријавуваат во рок од 15 минути по синџирот: диспечер → Обезбедување Пјурли Плант → QA → QP (при критичен инцидент; полиција/112 при кражба или незгода). Контејнерот не се отвора. Инцидентот се евидентира во WHSOP_003_A04 и се отвора отстапување (QAS-05-002).</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6.6.3 Incidents (temperature excursion, damaged seal, breakdown, traffic accident, delay over 2 hours, security incident) are reported within 15 minutes along the chain: dispatcher → Purely Plant Security → QA → QP (for critical incidents; police/112 for theft or accident). The container is not opened. The incident is recorded in WHSOP_003_A04 and a deviation is opened (QAS-05-002).</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6.7 Фаза 6 — Прием и проверка</w:t>
            </w:r>
          </w:p>
        </w:tc>
        <w:tc>
          <w:tcPr>
            <w:tcW w:type="dxa" w:w="5102"/>
            <w:tcBorders>
              <w:top w:val="nil"/>
              <w:left w:val="single" w:sz="4" w:color="000000"/>
              <w:bottom w:val="nil"/>
              <w:right w:val="nil"/>
            </w:tcBorders>
          </w:tcPr>
          <w:p>
            <w:r/>
            <w:r>
              <w:rPr>
                <w:rFonts w:ascii="Calibri" w:hAnsi="Calibri"/>
                <w:b/>
                <w:i w:val="0"/>
                <w:color w:val="595959"/>
                <w:sz w:val="22"/>
              </w:rPr>
              <w:t>6.7 Stage 6 — Receipt and verification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6.7.1 Пред потпис, примачот ја пополнува Чек-листата за прием (WHSOP_003_A05, дел Б): идентитет на возачот и возилото, надворешна состојба, пломба (цела, бројот одговара), преглед на логерот, број и идентитет на контејнерите и бруто маса при прием.</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6.7.1 Before signing, the consignee completes the Receipt Checklist (WHSOP_003_A05, part B): identity of driver and vehicle, external condition, seal (intact, number matches), logger review, number and identity of containers and gross mass on receipt.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6.7.2 Ако пломбата е оштетена или бројот не одговара, пратката НЕ се прифаќа: се фотографира, се известува QA на Пјурли Плант и се чека диспозиција. При екскурзија или разлика во бројот/масата, пратката може да се прими „со резерва“ само по одлука на QA.</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6.7.2 If the seal is damaged or the number does not match, the consignment is NOT accepted: it is photographed, Purely Plant QA is notified and disposition is awaited. On an excursion or a count/mass discrepancy, the consignment may be received "with reservation" only on a QA decision.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6.7.3 Точка на предавање 2 (возач → примач) се потпишува и заверува во WHSOP_003_A04 со статус на прием: ПРИФАТЕНО / ПРИФАТЕНО СО РЕЗЕРВА / ОДБИЕНО. Кај мостри, лабораторијата го потпишува и Барањето за анализа (WHSOP_003_A06).</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6.7.3 Transfer point 2 (driver → consignee) is signed and stamped in WHSOP_003_A04 with the receipt status: ACCEPTED / ACCEPTED WITH RESERVATION / REJECTED. For samples, the laboratory also signs the Request for Analysis (WHSOP_003_A06).</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6.8 Фаза 7 — Порамнување, известување по транспортот и архивирање</w:t>
            </w:r>
          </w:p>
        </w:tc>
        <w:tc>
          <w:tcPr>
            <w:tcW w:type="dxa" w:w="5102"/>
            <w:tcBorders>
              <w:top w:val="nil"/>
              <w:left w:val="single" w:sz="4" w:color="000000"/>
              <w:bottom w:val="nil"/>
              <w:right w:val="nil"/>
            </w:tcBorders>
          </w:tcPr>
          <w:p>
            <w:r/>
            <w:r>
              <w:rPr>
                <w:rFonts w:ascii="Calibri" w:hAnsi="Calibri"/>
                <w:b/>
                <w:i w:val="0"/>
                <w:color w:val="595959"/>
                <w:sz w:val="22"/>
              </w:rPr>
              <w:t>6.8 Stage 7 — Reconciliation, post-transport notification and archiving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6.8.1 Во рок од 24 часа по испораката посадата ги враќа: потпишаниот A04, потпишаниот примерок од A06 (мостри), логерот или неговите податоци, фотографиите и скршените пломби. Обезбедување генерира GPS извештај и го доставува досието до QA.</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6.8.1 Within 24 hours of delivery the crew returns: the signed A04, the signed copy of A06 (samples), the logger or its data, the photographs and the broken seals. Security generates the GPS report and submits the file to QA.</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6.8.2 Се порамнува количината: испратена нето маса наспроти примена маса по контејнер; разлика над вагата на мерење на примачот (според нејзината прецизност) се истражува како отстапување.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6.8.2 The quantity is reconciled: dispatched net mass against received mass per container; any difference beyond the consignee's weighing precision is investigated as a deviation.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6.8.3 Во рок од 3 работни дена по транспортот, Обезбедување го изготвува Известувањето по транспортот до МЗ (WHSOP_003_A07); QP го потпишува и се поднесува со доказ за поднесување.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6.8.3 Within 3 working days after the transport, Security prepares the post-transport notification to the MoH (WHSOP_003_A07); the QP signs it and it is submitted with proof of submission.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6.8.4 QA го прегледува досието во рок од 48 часа и ја евидентира диспозицијата во WHSOP_003_A08: ОДОБРЕНО / ОДОБРЕНО СО ОТСТАПУВАЊЕ / НЕУСОГЛАСЕНО (QP одлучува за материјалот). Податоците од логерот се додаваат во трендот на рутата (QASOP_0XX, периодичен преглед).</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6.8.4 QA reviews the file within 48 hours and records the disposition in WHSOP_003_A08: APPROVED / APPROVED WITH DEVIATION / NON-COMPLIANT (QP decides on the material). The logger data are added to the lane trend (QASOP_0XX, periodic review).</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6.8.5 Досието се архивира под UTID: A01–A08, потврда од МВР, GPS извештај, извештај од логерот, фотографии, отстапувања и (за мостри) CoA. Рок на чување: најмалку 5 години или 1 година по истекот на рокот на употреба на серијата, што е подолго (EU GMP Part I §4.11).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6.8.5 The file is archived under the UTID: A01–A08, MoIA confirmation, GPS report, logger report, photographs, deviations and (for samples) the CoA. Retention: at least 5 years or 1 year after batch expiry, whichever is longer (EU GMP Part I §4.11).</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6.9 Управување со отстапувања</w:t>
            </w:r>
          </w:p>
        </w:tc>
        <w:tc>
          <w:tcPr>
            <w:tcW w:type="dxa" w:w="5102"/>
            <w:tcBorders>
              <w:top w:val="nil"/>
              <w:left w:val="single" w:sz="4" w:color="000000"/>
              <w:bottom w:val="nil"/>
              <w:right w:val="nil"/>
            </w:tcBorders>
          </w:tcPr>
          <w:p>
            <w:r/>
            <w:r>
              <w:rPr>
                <w:rFonts w:ascii="Calibri" w:hAnsi="Calibri"/>
                <w:b/>
                <w:i w:val="0"/>
                <w:color w:val="595959"/>
                <w:sz w:val="22"/>
              </w:rPr>
              <w:t>6.9 Deviation management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Отстапување е секое неисполнување на оваа СОП: регулаторно (отпрема без потврда од МВР, доцнење на известувањето до МЗ), безбедносно (пломба, рута, инцидент), за интегритет (екскурзија, оштетување, губење) или документациско. Пратката се задржува/сегрегира во КАРАНТИН, се известува QA и се води истрага и CAPA според QAS-05-002 / QAS-05-001; при критично отстапување QP ја носи диспозицијата. Екскурзијата се оценува со податоците за стабилност и MKT; без оценка, материјалот не се користи.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 deviation is any failure to meet this SOP: regulatory (dispatch without MoIA confirmation, late MoH notification), security (seal, route, incident), integrity (excursion, damage, loss) or documentary. The consignment is held/segregated in QUARANTINE, QA is notified and an investigation and CAPA are performed per QAS-05-002 / QAS-05-001; for a critical deviation the QP decides the disposition. An excursion is assessed against stability data and the MKT; without that assessment the material is not used.</w:t>
            </w:r>
          </w:p>
        </w:tc>
      </w:tr>
      <w:tr>
        <w:tc>
          <w:tcPr>
            <w:tcW w:type="dxa" w:w="5102"/>
            <w:tcBorders>
              <w:top w:val="nil"/>
              <w:left w:val="nil"/>
              <w:bottom w:val="nil"/>
              <w:right w:val="single" w:sz="4" w:color="000000"/>
            </w:tcBorders>
          </w:tcPr>
          <w:p>
            <w:pPr>
              <w:pStyle w:val="Heading2"/>
            </w:pPr>
            <w:r/>
            <w:r>
              <w:rPr>
                <w:rFonts w:ascii="Calibri" w:hAnsi="Calibri"/>
                <w:b/>
                <w:i w:val="0"/>
                <w:color w:val="000000"/>
                <w:sz w:val="22"/>
              </w:rPr>
              <w:t>6.10 Обука</w:t>
            </w:r>
          </w:p>
        </w:tc>
        <w:tc>
          <w:tcPr>
            <w:tcW w:type="dxa" w:w="5102"/>
            <w:tcBorders>
              <w:top w:val="nil"/>
              <w:left w:val="single" w:sz="4" w:color="000000"/>
              <w:bottom w:val="nil"/>
              <w:right w:val="nil"/>
            </w:tcBorders>
          </w:tcPr>
          <w:p>
            <w:r/>
            <w:r>
              <w:rPr>
                <w:rFonts w:ascii="Calibri" w:hAnsi="Calibri"/>
                <w:b/>
                <w:i w:val="0"/>
                <w:color w:val="595959"/>
                <w:sz w:val="22"/>
              </w:rPr>
              <w:t>6.10 Training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Целиот вклучен персонал (Логистика, Обезбедување, КК, QA) се обучува за оваа СОП и анексите пред ефективниот датум и при секоја ревизија, со документирана евиденција (HR-01-006); освежителна обука најмалку на секои 2 години. Договорната компанија ја обучува посадата според Техничкиот договор за квалитет и доставува доказ.</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All involved personnel (Logistics, Security, QC, QA) are trained on this SOP and its annexes before the effective date and at every revision, with documented records (HR-01-006); refresher training at least every 2 years. The contracted company trains its crew per the Technical Quality Agreement and provides evidence.</w:t>
            </w:r>
          </w:p>
        </w:tc>
      </w:tr>
      <w:tr>
        <w:tc>
          <w:tcPr>
            <w:tcW w:type="dxa" w:w="5102"/>
            <w:shd w:val="clear" w:color="auto" w:fill="E8E8E8"/>
            <w:tcBorders>
              <w:top w:val="nil"/>
              <w:left w:val="nil"/>
              <w:bottom w:val="nil"/>
              <w:right w:val="single" w:sz="4" w:color="000000"/>
            </w:tcBorders>
          </w:tcPr>
          <w:p>
            <w:pPr>
              <w:pStyle w:val="Heading1"/>
            </w:pPr>
            <w:r/>
            <w:r>
              <w:rPr>
                <w:rFonts w:ascii="Calibri" w:hAnsi="Calibri"/>
                <w:b/>
                <w:i w:val="0"/>
                <w:color w:val="000000"/>
                <w:sz w:val="24"/>
              </w:rPr>
              <w:t>7.0 ЗАПИСИ</w:t>
            </w:r>
          </w:p>
        </w:tc>
        <w:tc>
          <w:tcPr>
            <w:tcW w:type="dxa" w:w="5102"/>
            <w:shd w:val="clear" w:color="auto" w:fill="E8E8E8"/>
            <w:tcBorders>
              <w:top w:val="nil"/>
              <w:left w:val="single" w:sz="4" w:color="000000"/>
              <w:bottom w:val="nil"/>
              <w:right w:val="nil"/>
            </w:tcBorders>
          </w:tcPr>
          <w:p>
            <w:r/>
            <w:r>
              <w:rPr>
                <w:rFonts w:ascii="Calibri" w:hAnsi="Calibri"/>
                <w:b/>
                <w:i w:val="0"/>
                <w:color w:val="595959"/>
                <w:sz w:val="24"/>
              </w:rPr>
              <w:t>7.0 RECORDS</w:t>
            </w:r>
          </w:p>
        </w:tc>
      </w:tr>
    </w:tbl>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8797"/>
        <w:tblInd w:type="dxa" w:w="0"/>
        <w:jc w:val="center"/>
      </w:tblPr>
      <w:tblGrid>
        <w:gridCol w:w="1535"/>
        <w:gridCol w:w="3631"/>
        <w:gridCol w:w="3631"/>
      </w:tblGrid>
      <w:tr>
        <w:trPr>
          <w:tblHeader w:val="true"/>
        </w:trPr>
        <w:tc>
          <w:tcPr>
            <w:shd w:val="clear" w:color="auto" w:fill="D9E2F3"/>
            <w:tcW w:type="dxa" w:w="1535"/>
          </w:tcPr>
          <w:p>
            <w:r/>
            <w:r>
              <w:rPr>
                <w:rFonts w:ascii="Calibri" w:hAnsi="Calibri"/>
                <w:b/>
                <w:i w:val="0"/>
                <w:color w:val="000000"/>
                <w:sz w:val="22"/>
              </w:rPr>
              <w:t>Код</w:t>
            </w:r>
            <w:r>
              <w:rPr>
                <w:rFonts w:ascii="Calibri" w:hAnsi="Calibri"/>
                <w:b w:val="0"/>
                <w:i w:val="0"/>
                <w:color w:val="000000"/>
                <w:sz w:val="14"/>
              </w:rPr>
              <w:t xml:space="preserve"> | </w:t>
            </w:r>
            <w:r>
              <w:rPr>
                <w:rFonts w:ascii="Calibri" w:hAnsi="Calibri"/>
                <w:b/>
                <w:i w:val="0"/>
                <w:color w:val="000000"/>
                <w:sz w:val="14"/>
              </w:rPr>
              <w:t>Code</w:t>
            </w:r>
          </w:p>
        </w:tc>
        <w:tc>
          <w:tcPr>
            <w:shd w:val="clear" w:color="auto" w:fill="D9E2F3"/>
            <w:tcW w:type="dxa" w:w="3631"/>
          </w:tcPr>
          <w:p>
            <w:r/>
            <w:r>
              <w:rPr>
                <w:rFonts w:ascii="Calibri" w:hAnsi="Calibri"/>
                <w:b/>
                <w:i w:val="0"/>
                <w:color w:val="000000"/>
                <w:sz w:val="22"/>
              </w:rPr>
              <w:t>Наслов</w:t>
            </w:r>
            <w:r>
              <w:rPr>
                <w:rFonts w:ascii="Calibri" w:hAnsi="Calibri"/>
                <w:b w:val="0"/>
                <w:i w:val="0"/>
                <w:color w:val="000000"/>
                <w:sz w:val="14"/>
              </w:rPr>
              <w:t xml:space="preserve"> | </w:t>
            </w:r>
            <w:r>
              <w:rPr>
                <w:rFonts w:ascii="Calibri" w:hAnsi="Calibri"/>
                <w:b/>
                <w:i w:val="0"/>
                <w:color w:val="000000"/>
                <w:sz w:val="14"/>
              </w:rPr>
              <w:t>Title</w:t>
            </w:r>
          </w:p>
        </w:tc>
        <w:tc>
          <w:tcPr>
            <w:shd w:val="clear" w:color="auto" w:fill="D9E2F3"/>
            <w:tcW w:type="dxa" w:w="3631"/>
          </w:tcPr>
          <w:p>
            <w:r/>
            <w:r>
              <w:rPr>
                <w:rFonts w:ascii="Calibri" w:hAnsi="Calibri"/>
                <w:b/>
                <w:i w:val="0"/>
                <w:color w:val="000000"/>
                <w:sz w:val="22"/>
              </w:rPr>
              <w:t>Кој пополнува</w:t>
            </w:r>
            <w:r>
              <w:rPr>
                <w:rFonts w:ascii="Calibri" w:hAnsi="Calibri"/>
                <w:b w:val="0"/>
                <w:i w:val="0"/>
                <w:color w:val="000000"/>
                <w:sz w:val="14"/>
              </w:rPr>
              <w:t xml:space="preserve"> | </w:t>
            </w:r>
            <w:r>
              <w:rPr>
                <w:rFonts w:ascii="Calibri" w:hAnsi="Calibri"/>
                <w:b/>
                <w:i w:val="0"/>
                <w:color w:val="000000"/>
                <w:sz w:val="14"/>
              </w:rPr>
              <w:t>Completed by</w:t>
            </w:r>
          </w:p>
        </w:tc>
      </w:tr>
      <w:tr>
        <w:tc>
          <w:tcPr>
            <w:tcW w:type="dxa" w:w="1535"/>
          </w:tcPr>
          <w:p>
            <w:r/>
            <w:r>
              <w:rPr>
                <w:rFonts w:ascii="Calibri" w:hAnsi="Calibri"/>
                <w:b w:val="0"/>
                <w:i w:val="0"/>
                <w:color w:val="000000"/>
                <w:sz w:val="22"/>
              </w:rPr>
              <w:t>WHSOP_003_A01</w:t>
            </w:r>
            <w:r>
              <w:rPr>
                <w:rFonts w:ascii="Calibri" w:hAnsi="Calibri"/>
                <w:b w:val="0"/>
                <w:i w:val="0"/>
                <w:color w:val="000000"/>
                <w:sz w:val="14"/>
              </w:rPr>
            </w:r>
          </w:p>
        </w:tc>
        <w:tc>
          <w:tcPr>
            <w:tcW w:type="dxa" w:w="3631"/>
          </w:tcPr>
          <w:p>
            <w:r/>
            <w:r>
              <w:rPr>
                <w:rFonts w:ascii="Calibri" w:hAnsi="Calibri"/>
                <w:b w:val="0"/>
                <w:i w:val="0"/>
                <w:color w:val="000000"/>
                <w:sz w:val="22"/>
              </w:rPr>
              <w:t>Процена на ризик од транспорт (TRA)</w:t>
            </w:r>
            <w:r>
              <w:rPr>
                <w:rFonts w:ascii="Calibri" w:hAnsi="Calibri"/>
                <w:b w:val="0"/>
                <w:i w:val="0"/>
                <w:color w:val="000000"/>
                <w:sz w:val="14"/>
              </w:rPr>
              <w:t xml:space="preserve"> | </w:t>
            </w:r>
            <w:r>
              <w:rPr>
                <w:rFonts w:ascii="Calibri" w:hAnsi="Calibri"/>
                <w:b w:val="0"/>
                <w:i w:val="0"/>
                <w:color w:val="000000"/>
                <w:sz w:val="14"/>
              </w:rPr>
              <w:t>Transport Risk Assessment (TRA)</w:t>
            </w:r>
          </w:p>
        </w:tc>
        <w:tc>
          <w:tcPr>
            <w:tcW w:type="dxa" w:w="3631"/>
          </w:tcPr>
          <w:p>
            <w:r/>
            <w:r>
              <w:rPr>
                <w:rFonts w:ascii="Calibri" w:hAnsi="Calibri"/>
                <w:b w:val="0"/>
                <w:i w:val="0"/>
                <w:color w:val="000000"/>
                <w:sz w:val="22"/>
              </w:rPr>
              <w:t>Логистика, QA</w:t>
            </w:r>
            <w:r>
              <w:rPr>
                <w:rFonts w:ascii="Calibri" w:hAnsi="Calibri"/>
                <w:b w:val="0"/>
                <w:i w:val="0"/>
                <w:color w:val="000000"/>
                <w:sz w:val="14"/>
              </w:rPr>
              <w:t xml:space="preserve"> | </w:t>
            </w:r>
            <w:r>
              <w:rPr>
                <w:rFonts w:ascii="Calibri" w:hAnsi="Calibri"/>
                <w:b w:val="0"/>
                <w:i w:val="0"/>
                <w:color w:val="000000"/>
                <w:sz w:val="14"/>
              </w:rPr>
              <w:t>Logistics, QA</w:t>
            </w:r>
          </w:p>
        </w:tc>
      </w:tr>
      <w:tr>
        <w:tc>
          <w:tcPr>
            <w:tcW w:type="dxa" w:w="1535"/>
          </w:tcPr>
          <w:p>
            <w:r/>
            <w:r>
              <w:rPr>
                <w:rFonts w:ascii="Calibri" w:hAnsi="Calibri"/>
                <w:b w:val="0"/>
                <w:i w:val="0"/>
                <w:color w:val="000000"/>
                <w:sz w:val="22"/>
              </w:rPr>
              <w:t>WHSOP_003_A02</w:t>
            </w:r>
            <w:r>
              <w:rPr>
                <w:rFonts w:ascii="Calibri" w:hAnsi="Calibri"/>
                <w:b w:val="0"/>
                <w:i w:val="0"/>
                <w:color w:val="000000"/>
                <w:sz w:val="14"/>
              </w:rPr>
            </w:r>
          </w:p>
        </w:tc>
        <w:tc>
          <w:tcPr>
            <w:tcW w:type="dxa" w:w="3631"/>
          </w:tcPr>
          <w:p>
            <w:r/>
            <w:r>
              <w:rPr>
                <w:rFonts w:ascii="Calibri" w:hAnsi="Calibri"/>
                <w:b w:val="0"/>
                <w:i w:val="0"/>
                <w:color w:val="000000"/>
                <w:sz w:val="22"/>
              </w:rPr>
              <w:t>Известување до Министерството за внатрешни работи</w:t>
            </w:r>
            <w:r>
              <w:rPr>
                <w:rFonts w:ascii="Calibri" w:hAnsi="Calibri"/>
                <w:b w:val="0"/>
                <w:i w:val="0"/>
                <w:color w:val="000000"/>
                <w:sz w:val="14"/>
              </w:rPr>
              <w:t xml:space="preserve"> | </w:t>
            </w:r>
            <w:r>
              <w:rPr>
                <w:rFonts w:ascii="Calibri" w:hAnsi="Calibri"/>
                <w:b w:val="0"/>
                <w:i w:val="0"/>
                <w:color w:val="000000"/>
                <w:sz w:val="14"/>
              </w:rPr>
              <w:t>Notification to the Ministry of Interior Affairs</w:t>
            </w:r>
          </w:p>
        </w:tc>
        <w:tc>
          <w:tcPr>
            <w:tcW w:type="dxa" w:w="3631"/>
          </w:tcPr>
          <w:p>
            <w:r/>
            <w:r>
              <w:rPr>
                <w:rFonts w:ascii="Calibri" w:hAnsi="Calibri"/>
                <w:b w:val="0"/>
                <w:i w:val="0"/>
                <w:color w:val="000000"/>
                <w:sz w:val="22"/>
              </w:rPr>
              <w:t>Обезбедување</w:t>
            </w:r>
            <w:r>
              <w:rPr>
                <w:rFonts w:ascii="Calibri" w:hAnsi="Calibri"/>
                <w:b w:val="0"/>
                <w:i w:val="0"/>
                <w:color w:val="000000"/>
                <w:sz w:val="14"/>
              </w:rPr>
              <w:t xml:space="preserve"> | </w:t>
            </w:r>
            <w:r>
              <w:rPr>
                <w:rFonts w:ascii="Calibri" w:hAnsi="Calibri"/>
                <w:b w:val="0"/>
                <w:i w:val="0"/>
                <w:color w:val="000000"/>
                <w:sz w:val="14"/>
              </w:rPr>
              <w:t>Security</w:t>
            </w:r>
          </w:p>
        </w:tc>
      </w:tr>
      <w:tr>
        <w:tc>
          <w:tcPr>
            <w:tcW w:type="dxa" w:w="1535"/>
          </w:tcPr>
          <w:p>
            <w:r/>
            <w:r>
              <w:rPr>
                <w:rFonts w:ascii="Calibri" w:hAnsi="Calibri"/>
                <w:b w:val="0"/>
                <w:i w:val="0"/>
                <w:color w:val="000000"/>
                <w:sz w:val="22"/>
              </w:rPr>
              <w:t>WHSOP_003_A03</w:t>
            </w:r>
            <w:r>
              <w:rPr>
                <w:rFonts w:ascii="Calibri" w:hAnsi="Calibri"/>
                <w:b w:val="0"/>
                <w:i w:val="0"/>
                <w:color w:val="000000"/>
                <w:sz w:val="14"/>
              </w:rPr>
            </w:r>
          </w:p>
        </w:tc>
        <w:tc>
          <w:tcPr>
            <w:tcW w:type="dxa" w:w="3631"/>
          </w:tcPr>
          <w:p>
            <w:r/>
            <w:r>
              <w:rPr>
                <w:rFonts w:ascii="Calibri" w:hAnsi="Calibri"/>
                <w:b w:val="0"/>
                <w:i w:val="0"/>
                <w:color w:val="000000"/>
                <w:sz w:val="22"/>
              </w:rPr>
              <w:t>Известување до договорната обезбедувачка компанија</w:t>
            </w:r>
            <w:r>
              <w:rPr>
                <w:rFonts w:ascii="Calibri" w:hAnsi="Calibri"/>
                <w:b w:val="0"/>
                <w:i w:val="0"/>
                <w:color w:val="000000"/>
                <w:sz w:val="14"/>
              </w:rPr>
              <w:t xml:space="preserve"> | </w:t>
            </w:r>
            <w:r>
              <w:rPr>
                <w:rFonts w:ascii="Calibri" w:hAnsi="Calibri"/>
                <w:b w:val="0"/>
                <w:i w:val="0"/>
                <w:color w:val="000000"/>
                <w:sz w:val="14"/>
              </w:rPr>
              <w:t>Notification to the contracted security company</w:t>
            </w:r>
          </w:p>
        </w:tc>
        <w:tc>
          <w:tcPr>
            <w:tcW w:type="dxa" w:w="3631"/>
          </w:tcPr>
          <w:p>
            <w:r/>
            <w:r>
              <w:rPr>
                <w:rFonts w:ascii="Calibri" w:hAnsi="Calibri"/>
                <w:b w:val="0"/>
                <w:i w:val="0"/>
                <w:color w:val="000000"/>
                <w:sz w:val="22"/>
              </w:rPr>
              <w:t>Обезбедување</w:t>
            </w:r>
            <w:r>
              <w:rPr>
                <w:rFonts w:ascii="Calibri" w:hAnsi="Calibri"/>
                <w:b w:val="0"/>
                <w:i w:val="0"/>
                <w:color w:val="000000"/>
                <w:sz w:val="14"/>
              </w:rPr>
              <w:t xml:space="preserve"> | </w:t>
            </w:r>
            <w:r>
              <w:rPr>
                <w:rFonts w:ascii="Calibri" w:hAnsi="Calibri"/>
                <w:b w:val="0"/>
                <w:i w:val="0"/>
                <w:color w:val="000000"/>
                <w:sz w:val="14"/>
              </w:rPr>
              <w:t>Security</w:t>
            </w:r>
          </w:p>
        </w:tc>
      </w:tr>
      <w:tr>
        <w:tc>
          <w:tcPr>
            <w:tcW w:type="dxa" w:w="1535"/>
          </w:tcPr>
          <w:p>
            <w:r/>
            <w:r>
              <w:rPr>
                <w:rFonts w:ascii="Calibri" w:hAnsi="Calibri"/>
                <w:b w:val="0"/>
                <w:i w:val="0"/>
                <w:color w:val="000000"/>
                <w:sz w:val="22"/>
              </w:rPr>
              <w:t>WHSOP_003_A04</w:t>
            </w:r>
            <w:r>
              <w:rPr>
                <w:rFonts w:ascii="Calibri" w:hAnsi="Calibri"/>
                <w:b w:val="0"/>
                <w:i w:val="0"/>
                <w:color w:val="000000"/>
                <w:sz w:val="14"/>
              </w:rPr>
            </w:r>
          </w:p>
        </w:tc>
        <w:tc>
          <w:tcPr>
            <w:tcW w:type="dxa" w:w="3631"/>
          </w:tcPr>
          <w:p>
            <w:r/>
            <w:r>
              <w:rPr>
                <w:rFonts w:ascii="Calibri" w:hAnsi="Calibri"/>
                <w:b w:val="0"/>
                <w:i w:val="0"/>
                <w:color w:val="000000"/>
                <w:sz w:val="22"/>
              </w:rPr>
              <w:t>Транспортен манифест и ланец на надзор</w:t>
            </w:r>
            <w:r>
              <w:rPr>
                <w:rFonts w:ascii="Calibri" w:hAnsi="Calibri"/>
                <w:b w:val="0"/>
                <w:i w:val="0"/>
                <w:color w:val="000000"/>
                <w:sz w:val="14"/>
              </w:rPr>
              <w:t xml:space="preserve"> | </w:t>
            </w:r>
            <w:r>
              <w:rPr>
                <w:rFonts w:ascii="Calibri" w:hAnsi="Calibri"/>
                <w:b w:val="0"/>
                <w:i w:val="0"/>
                <w:color w:val="000000"/>
                <w:sz w:val="14"/>
              </w:rPr>
              <w:t>Transport Manifest and Chain of Custody</w:t>
            </w:r>
          </w:p>
        </w:tc>
        <w:tc>
          <w:tcPr>
            <w:tcW w:type="dxa" w:w="3631"/>
          </w:tcPr>
          <w:p>
            <w:r/>
            <w:r>
              <w:rPr>
                <w:rFonts w:ascii="Calibri" w:hAnsi="Calibri"/>
                <w:b w:val="0"/>
                <w:i w:val="0"/>
                <w:color w:val="000000"/>
                <w:sz w:val="22"/>
              </w:rPr>
              <w:t>Логистика, посада, примач</w:t>
            </w:r>
            <w:r>
              <w:rPr>
                <w:rFonts w:ascii="Calibri" w:hAnsi="Calibri"/>
                <w:b w:val="0"/>
                <w:i w:val="0"/>
                <w:color w:val="000000"/>
                <w:sz w:val="14"/>
              </w:rPr>
              <w:t xml:space="preserve"> | </w:t>
            </w:r>
            <w:r>
              <w:rPr>
                <w:rFonts w:ascii="Calibri" w:hAnsi="Calibri"/>
                <w:b w:val="0"/>
                <w:i w:val="0"/>
                <w:color w:val="000000"/>
                <w:sz w:val="14"/>
              </w:rPr>
              <w:t>Logistics, crew, consignee</w:t>
            </w:r>
          </w:p>
        </w:tc>
      </w:tr>
      <w:tr>
        <w:tc>
          <w:tcPr>
            <w:tcW w:type="dxa" w:w="1535"/>
          </w:tcPr>
          <w:p>
            <w:r/>
            <w:r>
              <w:rPr>
                <w:rFonts w:ascii="Calibri" w:hAnsi="Calibri"/>
                <w:b w:val="0"/>
                <w:i w:val="0"/>
                <w:color w:val="000000"/>
                <w:sz w:val="22"/>
              </w:rPr>
              <w:t>WHSOP_003_A05</w:t>
            </w:r>
            <w:r>
              <w:rPr>
                <w:rFonts w:ascii="Calibri" w:hAnsi="Calibri"/>
                <w:b w:val="0"/>
                <w:i w:val="0"/>
                <w:color w:val="000000"/>
                <w:sz w:val="14"/>
              </w:rPr>
            </w:r>
          </w:p>
        </w:tc>
        <w:tc>
          <w:tcPr>
            <w:tcW w:type="dxa" w:w="3631"/>
          </w:tcPr>
          <w:p>
            <w:r/>
            <w:r>
              <w:rPr>
                <w:rFonts w:ascii="Calibri" w:hAnsi="Calibri"/>
                <w:b w:val="0"/>
                <w:i w:val="0"/>
                <w:color w:val="000000"/>
                <w:sz w:val="22"/>
              </w:rPr>
              <w:t>Чек-листа пред отпрема и при прием</w:t>
            </w:r>
            <w:r>
              <w:rPr>
                <w:rFonts w:ascii="Calibri" w:hAnsi="Calibri"/>
                <w:b w:val="0"/>
                <w:i w:val="0"/>
                <w:color w:val="000000"/>
                <w:sz w:val="14"/>
              </w:rPr>
              <w:t xml:space="preserve"> | </w:t>
            </w:r>
            <w:r>
              <w:rPr>
                <w:rFonts w:ascii="Calibri" w:hAnsi="Calibri"/>
                <w:b w:val="0"/>
                <w:i w:val="0"/>
                <w:color w:val="000000"/>
                <w:sz w:val="14"/>
              </w:rPr>
              <w:t>Pre-dispatch and Receipt Checklist</w:t>
            </w:r>
          </w:p>
        </w:tc>
        <w:tc>
          <w:tcPr>
            <w:tcW w:type="dxa" w:w="3631"/>
          </w:tcPr>
          <w:p>
            <w:r/>
            <w:r>
              <w:rPr>
                <w:rFonts w:ascii="Calibri" w:hAnsi="Calibri"/>
                <w:b w:val="0"/>
                <w:i w:val="0"/>
                <w:color w:val="000000"/>
                <w:sz w:val="22"/>
              </w:rPr>
              <w:t>Обезбедување, примач</w:t>
            </w:r>
            <w:r>
              <w:rPr>
                <w:rFonts w:ascii="Calibri" w:hAnsi="Calibri"/>
                <w:b w:val="0"/>
                <w:i w:val="0"/>
                <w:color w:val="000000"/>
                <w:sz w:val="14"/>
              </w:rPr>
              <w:t xml:space="preserve"> | </w:t>
            </w:r>
            <w:r>
              <w:rPr>
                <w:rFonts w:ascii="Calibri" w:hAnsi="Calibri"/>
                <w:b w:val="0"/>
                <w:i w:val="0"/>
                <w:color w:val="000000"/>
                <w:sz w:val="14"/>
              </w:rPr>
              <w:t>Security, consignee</w:t>
            </w:r>
          </w:p>
        </w:tc>
      </w:tr>
      <w:tr>
        <w:tc>
          <w:tcPr>
            <w:tcW w:type="dxa" w:w="1535"/>
          </w:tcPr>
          <w:p>
            <w:r/>
            <w:r>
              <w:rPr>
                <w:rFonts w:ascii="Calibri" w:hAnsi="Calibri"/>
                <w:b w:val="0"/>
                <w:i w:val="0"/>
                <w:color w:val="000000"/>
                <w:sz w:val="22"/>
              </w:rPr>
              <w:t>WHSOP_003_A06</w:t>
            </w:r>
            <w:r>
              <w:rPr>
                <w:rFonts w:ascii="Calibri" w:hAnsi="Calibri"/>
                <w:b w:val="0"/>
                <w:i w:val="0"/>
                <w:color w:val="000000"/>
                <w:sz w:val="14"/>
              </w:rPr>
            </w:r>
          </w:p>
        </w:tc>
        <w:tc>
          <w:tcPr>
            <w:tcW w:type="dxa" w:w="3631"/>
          </w:tcPr>
          <w:p>
            <w:r/>
            <w:r>
              <w:rPr>
                <w:rFonts w:ascii="Calibri" w:hAnsi="Calibri"/>
                <w:b w:val="0"/>
                <w:i w:val="0"/>
                <w:color w:val="000000"/>
                <w:sz w:val="22"/>
              </w:rPr>
              <w:t>Барање за анализа (мостри)</w:t>
            </w:r>
            <w:r>
              <w:rPr>
                <w:rFonts w:ascii="Calibri" w:hAnsi="Calibri"/>
                <w:b w:val="0"/>
                <w:i w:val="0"/>
                <w:color w:val="000000"/>
                <w:sz w:val="14"/>
              </w:rPr>
              <w:t xml:space="preserve"> | </w:t>
            </w:r>
            <w:r>
              <w:rPr>
                <w:rFonts w:ascii="Calibri" w:hAnsi="Calibri"/>
                <w:b w:val="0"/>
                <w:i w:val="0"/>
                <w:color w:val="000000"/>
                <w:sz w:val="14"/>
              </w:rPr>
              <w:t>Request for Analysis (samples)</w:t>
            </w:r>
          </w:p>
        </w:tc>
        <w:tc>
          <w:tcPr>
            <w:tcW w:type="dxa" w:w="3631"/>
          </w:tcPr>
          <w:p>
            <w:r/>
            <w:r>
              <w:rPr>
                <w:rFonts w:ascii="Calibri" w:hAnsi="Calibri"/>
                <w:b w:val="0"/>
                <w:i w:val="0"/>
                <w:color w:val="000000"/>
                <w:sz w:val="22"/>
              </w:rPr>
              <w:t>КК, лабораторија</w:t>
            </w:r>
            <w:r>
              <w:rPr>
                <w:rFonts w:ascii="Calibri" w:hAnsi="Calibri"/>
                <w:b w:val="0"/>
                <w:i w:val="0"/>
                <w:color w:val="000000"/>
                <w:sz w:val="14"/>
              </w:rPr>
              <w:t xml:space="preserve"> | </w:t>
            </w:r>
            <w:r>
              <w:rPr>
                <w:rFonts w:ascii="Calibri" w:hAnsi="Calibri"/>
                <w:b w:val="0"/>
                <w:i w:val="0"/>
                <w:color w:val="000000"/>
                <w:sz w:val="14"/>
              </w:rPr>
              <w:t>QC, laboratory</w:t>
            </w:r>
          </w:p>
        </w:tc>
      </w:tr>
      <w:tr>
        <w:tc>
          <w:tcPr>
            <w:tcW w:type="dxa" w:w="1535"/>
          </w:tcPr>
          <w:p>
            <w:r/>
            <w:r>
              <w:rPr>
                <w:rFonts w:ascii="Calibri" w:hAnsi="Calibri"/>
                <w:b w:val="0"/>
                <w:i w:val="0"/>
                <w:color w:val="000000"/>
                <w:sz w:val="22"/>
              </w:rPr>
              <w:t>WHSOP_003_A07</w:t>
            </w:r>
            <w:r>
              <w:rPr>
                <w:rFonts w:ascii="Calibri" w:hAnsi="Calibri"/>
                <w:b w:val="0"/>
                <w:i w:val="0"/>
                <w:color w:val="000000"/>
                <w:sz w:val="14"/>
              </w:rPr>
            </w:r>
          </w:p>
        </w:tc>
        <w:tc>
          <w:tcPr>
            <w:tcW w:type="dxa" w:w="3631"/>
          </w:tcPr>
          <w:p>
            <w:r/>
            <w:r>
              <w:rPr>
                <w:rFonts w:ascii="Calibri" w:hAnsi="Calibri"/>
                <w:b w:val="0"/>
                <w:i w:val="0"/>
                <w:color w:val="000000"/>
                <w:sz w:val="22"/>
              </w:rPr>
              <w:t>Известување по транспортот до Министерството за здравство</w:t>
            </w:r>
            <w:r>
              <w:rPr>
                <w:rFonts w:ascii="Calibri" w:hAnsi="Calibri"/>
                <w:b w:val="0"/>
                <w:i w:val="0"/>
                <w:color w:val="000000"/>
                <w:sz w:val="14"/>
              </w:rPr>
              <w:t xml:space="preserve"> | </w:t>
            </w:r>
            <w:r>
              <w:rPr>
                <w:rFonts w:ascii="Calibri" w:hAnsi="Calibri"/>
                <w:b w:val="0"/>
                <w:i w:val="0"/>
                <w:color w:val="000000"/>
                <w:sz w:val="14"/>
              </w:rPr>
              <w:t>Post-transport Notification to the Ministry of Health</w:t>
            </w:r>
          </w:p>
        </w:tc>
        <w:tc>
          <w:tcPr>
            <w:tcW w:type="dxa" w:w="3631"/>
          </w:tcPr>
          <w:p>
            <w:r/>
            <w:r>
              <w:rPr>
                <w:rFonts w:ascii="Calibri" w:hAnsi="Calibri"/>
                <w:b w:val="0"/>
                <w:i w:val="0"/>
                <w:color w:val="000000"/>
                <w:sz w:val="22"/>
              </w:rPr>
              <w:t>Обезбедување, QP</w:t>
            </w:r>
            <w:r>
              <w:rPr>
                <w:rFonts w:ascii="Calibri" w:hAnsi="Calibri"/>
                <w:b w:val="0"/>
                <w:i w:val="0"/>
                <w:color w:val="000000"/>
                <w:sz w:val="14"/>
              </w:rPr>
              <w:t xml:space="preserve"> | </w:t>
            </w:r>
            <w:r>
              <w:rPr>
                <w:rFonts w:ascii="Calibri" w:hAnsi="Calibri"/>
                <w:b w:val="0"/>
                <w:i w:val="0"/>
                <w:color w:val="000000"/>
                <w:sz w:val="14"/>
              </w:rPr>
              <w:t>Security, QP</w:t>
            </w:r>
          </w:p>
        </w:tc>
      </w:tr>
      <w:tr>
        <w:tc>
          <w:tcPr>
            <w:tcW w:type="dxa" w:w="1535"/>
          </w:tcPr>
          <w:p>
            <w:r/>
            <w:r>
              <w:rPr>
                <w:rFonts w:ascii="Calibri" w:hAnsi="Calibri"/>
                <w:b w:val="0"/>
                <w:i w:val="0"/>
                <w:color w:val="000000"/>
                <w:sz w:val="22"/>
              </w:rPr>
              <w:t>WHSOP_003_A08</w:t>
            </w:r>
            <w:r>
              <w:rPr>
                <w:rFonts w:ascii="Calibri" w:hAnsi="Calibri"/>
                <w:b w:val="0"/>
                <w:i w:val="0"/>
                <w:color w:val="000000"/>
                <w:sz w:val="14"/>
              </w:rPr>
            </w:r>
          </w:p>
        </w:tc>
        <w:tc>
          <w:tcPr>
            <w:tcW w:type="dxa" w:w="3631"/>
          </w:tcPr>
          <w:p>
            <w:r/>
            <w:r>
              <w:rPr>
                <w:rFonts w:ascii="Calibri" w:hAnsi="Calibri"/>
                <w:b w:val="0"/>
                <w:i w:val="0"/>
                <w:color w:val="000000"/>
                <w:sz w:val="22"/>
              </w:rPr>
              <w:t>Преглед на транспортното досие и диспозиција</w:t>
            </w:r>
            <w:r>
              <w:rPr>
                <w:rFonts w:ascii="Calibri" w:hAnsi="Calibri"/>
                <w:b w:val="0"/>
                <w:i w:val="0"/>
                <w:color w:val="000000"/>
                <w:sz w:val="14"/>
              </w:rPr>
              <w:t xml:space="preserve"> | </w:t>
            </w:r>
            <w:r>
              <w:rPr>
                <w:rFonts w:ascii="Calibri" w:hAnsi="Calibri"/>
                <w:b w:val="0"/>
                <w:i w:val="0"/>
                <w:color w:val="000000"/>
                <w:sz w:val="14"/>
              </w:rPr>
              <w:t>Transport File Review and Disposition</w:t>
            </w:r>
          </w:p>
        </w:tc>
        <w:tc>
          <w:tcPr>
            <w:tcW w:type="dxa" w:w="3631"/>
          </w:tcPr>
          <w:p>
            <w:r/>
            <w:r>
              <w:rPr>
                <w:rFonts w:ascii="Calibri" w:hAnsi="Calibri"/>
                <w:b w:val="0"/>
                <w:i w:val="0"/>
                <w:color w:val="000000"/>
                <w:sz w:val="22"/>
              </w:rPr>
              <w:t>QA</w:t>
            </w:r>
            <w:r>
              <w:rPr>
                <w:rFonts w:ascii="Calibri" w:hAnsi="Calibri"/>
                <w:b w:val="0"/>
                <w:i w:val="0"/>
                <w:color w:val="000000"/>
                <w:sz w:val="14"/>
              </w:rPr>
            </w:r>
          </w:p>
        </w:tc>
      </w:tr>
    </w:tbl>
    <w:tbl>
      <w:tblPr>
        <w:tblW w:type="auto" w:w="0"/>
        <w:jc w:val="center"/>
        <w:tblLayout w:type="fixed"/>
        <w:tblLook w:firstColumn="1" w:firstRow="1" w:lastColumn="0" w:lastRow="0" w:noHBand="0" w:noVBand="1" w:val="04A0"/>
        <w:tblLayout w:type="fixed"/>
      </w:tblPr>
      <w:tblGrid>
        <w:gridCol w:w="5233"/>
        <w:gridCol w:w="5233"/>
      </w:tblGrid>
      <w:tr>
        <w:tc>
          <w:tcPr>
            <w:tcW w:type="dxa" w:w="5102"/>
            <w:shd w:val="clear" w:color="auto" w:fill="E8E8E8"/>
            <w:tcBorders>
              <w:top w:val="nil"/>
              <w:left w:val="nil"/>
              <w:bottom w:val="nil"/>
              <w:right w:val="single" w:sz="4" w:color="000000"/>
            </w:tcBorders>
          </w:tcPr>
          <w:p>
            <w:pPr>
              <w:pStyle w:val="Heading1"/>
            </w:pPr>
            <w:r/>
            <w:r>
              <w:rPr>
                <w:rFonts w:ascii="Calibri" w:hAnsi="Calibri"/>
                <w:b/>
                <w:i w:val="0"/>
                <w:color w:val="000000"/>
                <w:sz w:val="24"/>
              </w:rPr>
              <w:t>8.0 ПОВРЗАНИ ДОКУМЕНТИ</w:t>
            </w:r>
          </w:p>
        </w:tc>
        <w:tc>
          <w:tcPr>
            <w:tcW w:type="dxa" w:w="5102"/>
            <w:shd w:val="clear" w:color="auto" w:fill="E8E8E8"/>
            <w:tcBorders>
              <w:top w:val="nil"/>
              <w:left w:val="single" w:sz="4" w:color="000000"/>
              <w:bottom w:val="nil"/>
              <w:right w:val="nil"/>
            </w:tcBorders>
          </w:tcPr>
          <w:p>
            <w:r/>
            <w:r>
              <w:rPr>
                <w:rFonts w:ascii="Calibri" w:hAnsi="Calibri"/>
                <w:b/>
                <w:i w:val="0"/>
                <w:color w:val="595959"/>
                <w:sz w:val="24"/>
              </w:rPr>
              <w:t>8.0 RELATED DOCUMENTS</w:t>
            </w:r>
          </w:p>
        </w:tc>
      </w:tr>
    </w:tbl>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6164"/>
        <w:tblInd w:type="dxa" w:w="0"/>
        <w:jc w:val="center"/>
      </w:tblPr>
      <w:tblGrid>
        <w:gridCol w:w="2533"/>
        <w:gridCol w:w="3631"/>
      </w:tblGrid>
      <w:tr>
        <w:trPr>
          <w:tblHeader w:val="true"/>
        </w:trPr>
        <w:tc>
          <w:tcPr>
            <w:shd w:val="clear" w:color="auto" w:fill="D9E2F3"/>
            <w:tcW w:type="dxa" w:w="2533"/>
          </w:tcPr>
          <w:p>
            <w:r/>
            <w:r>
              <w:rPr>
                <w:rFonts w:ascii="Calibri" w:hAnsi="Calibri"/>
                <w:b/>
                <w:i w:val="0"/>
                <w:color w:val="000000"/>
                <w:sz w:val="22"/>
              </w:rPr>
              <w:t>Код</w:t>
            </w:r>
            <w:r>
              <w:rPr>
                <w:rFonts w:ascii="Calibri" w:hAnsi="Calibri"/>
                <w:b w:val="0"/>
                <w:i w:val="0"/>
                <w:color w:val="000000"/>
                <w:sz w:val="14"/>
              </w:rPr>
              <w:t xml:space="preserve"> | </w:t>
            </w:r>
            <w:r>
              <w:rPr>
                <w:rFonts w:ascii="Calibri" w:hAnsi="Calibri"/>
                <w:b/>
                <w:i w:val="0"/>
                <w:color w:val="000000"/>
                <w:sz w:val="14"/>
              </w:rPr>
              <w:t>Code</w:t>
            </w:r>
          </w:p>
        </w:tc>
        <w:tc>
          <w:tcPr>
            <w:shd w:val="clear" w:color="auto" w:fill="D9E2F3"/>
            <w:tcW w:type="dxa" w:w="3631"/>
          </w:tcPr>
          <w:p>
            <w:r/>
            <w:r>
              <w:rPr>
                <w:rFonts w:ascii="Calibri" w:hAnsi="Calibri"/>
                <w:b/>
                <w:i w:val="0"/>
                <w:color w:val="000000"/>
                <w:sz w:val="22"/>
              </w:rPr>
              <w:t>Наслов</w:t>
            </w:r>
            <w:r>
              <w:rPr>
                <w:rFonts w:ascii="Calibri" w:hAnsi="Calibri"/>
                <w:b w:val="0"/>
                <w:i w:val="0"/>
                <w:color w:val="000000"/>
                <w:sz w:val="14"/>
              </w:rPr>
              <w:t xml:space="preserve"> | </w:t>
            </w:r>
            <w:r>
              <w:rPr>
                <w:rFonts w:ascii="Calibri" w:hAnsi="Calibri"/>
                <w:b/>
                <w:i w:val="0"/>
                <w:color w:val="000000"/>
                <w:sz w:val="14"/>
              </w:rPr>
              <w:t>Title</w:t>
            </w:r>
          </w:p>
        </w:tc>
      </w:tr>
      <w:tr>
        <w:tc>
          <w:tcPr>
            <w:tcW w:type="dxa" w:w="2533"/>
          </w:tcPr>
          <w:p>
            <w:r/>
            <w:r>
              <w:rPr>
                <w:rFonts w:ascii="Calibri" w:hAnsi="Calibri"/>
                <w:b w:val="0"/>
                <w:i w:val="0"/>
                <w:color w:val="000000"/>
                <w:sz w:val="22"/>
              </w:rPr>
              <w:t>QASOP_0XX</w:t>
            </w:r>
            <w:r>
              <w:rPr>
                <w:rFonts w:ascii="Calibri" w:hAnsi="Calibri"/>
                <w:b w:val="0"/>
                <w:i w:val="0"/>
                <w:color w:val="000000"/>
                <w:sz w:val="14"/>
              </w:rPr>
            </w:r>
          </w:p>
        </w:tc>
        <w:tc>
          <w:tcPr>
            <w:tcW w:type="dxa" w:w="3631"/>
          </w:tcPr>
          <w:p>
            <w:r/>
            <w:r>
              <w:rPr>
                <w:rFonts w:ascii="Calibri" w:hAnsi="Calibri"/>
                <w:b w:val="0"/>
                <w:i w:val="0"/>
                <w:color w:val="000000"/>
                <w:sz w:val="22"/>
              </w:rPr>
              <w:t>Валидација на транспорт — квалификација на рути (OQ/PQ)</w:t>
            </w:r>
            <w:r>
              <w:rPr>
                <w:rFonts w:ascii="Calibri" w:hAnsi="Calibri"/>
                <w:b w:val="0"/>
                <w:i w:val="0"/>
                <w:color w:val="000000"/>
                <w:sz w:val="14"/>
              </w:rPr>
              <w:t xml:space="preserve"> | </w:t>
            </w:r>
            <w:r>
              <w:rPr>
                <w:rFonts w:ascii="Calibri" w:hAnsi="Calibri"/>
                <w:b w:val="0"/>
                <w:i w:val="0"/>
                <w:color w:val="000000"/>
                <w:sz w:val="14"/>
              </w:rPr>
              <w:t>Transport Validation — Lane Qualification (OQ/PQ)</w:t>
            </w:r>
          </w:p>
        </w:tc>
      </w:tr>
      <w:tr>
        <w:tc>
          <w:tcPr>
            <w:tcW w:type="dxa" w:w="2533"/>
          </w:tcPr>
          <w:p>
            <w:r/>
            <w:r>
              <w:rPr>
                <w:rFonts w:ascii="Calibri" w:hAnsi="Calibri"/>
                <w:b w:val="0"/>
                <w:i w:val="0"/>
                <w:color w:val="000000"/>
                <w:sz w:val="22"/>
              </w:rPr>
              <w:t>WHSOP_002</w:t>
            </w:r>
            <w:r>
              <w:rPr>
                <w:rFonts w:ascii="Calibri" w:hAnsi="Calibri"/>
                <w:b w:val="0"/>
                <w:i w:val="0"/>
                <w:color w:val="000000"/>
                <w:sz w:val="14"/>
              </w:rPr>
            </w:r>
          </w:p>
        </w:tc>
        <w:tc>
          <w:tcPr>
            <w:tcW w:type="dxa" w:w="3631"/>
          </w:tcPr>
          <w:p>
            <w:r/>
            <w:r>
              <w:rPr>
                <w:rFonts w:ascii="Calibri" w:hAnsi="Calibri"/>
                <w:b w:val="0"/>
                <w:i w:val="0"/>
                <w:color w:val="000000"/>
                <w:sz w:val="22"/>
              </w:rPr>
              <w:t>Транспорт, увоз, извоз и дистрибуција на медицински канабис</w:t>
            </w:r>
            <w:r>
              <w:rPr>
                <w:rFonts w:ascii="Calibri" w:hAnsi="Calibri"/>
                <w:b w:val="0"/>
                <w:i w:val="0"/>
                <w:color w:val="000000"/>
                <w:sz w:val="14"/>
              </w:rPr>
              <w:t xml:space="preserve"> | </w:t>
            </w:r>
            <w:r>
              <w:rPr>
                <w:rFonts w:ascii="Calibri" w:hAnsi="Calibri"/>
                <w:b w:val="0"/>
                <w:i w:val="0"/>
                <w:color w:val="000000"/>
                <w:sz w:val="14"/>
              </w:rPr>
              <w:t>Transport, Import, Export and Distribution of Medical Cannabis</w:t>
            </w:r>
          </w:p>
        </w:tc>
      </w:tr>
      <w:tr>
        <w:tc>
          <w:tcPr>
            <w:tcW w:type="dxa" w:w="2533"/>
          </w:tcPr>
          <w:p>
            <w:r/>
            <w:r>
              <w:rPr>
                <w:rFonts w:ascii="Calibri" w:hAnsi="Calibri"/>
                <w:b w:val="0"/>
                <w:i w:val="0"/>
                <w:color w:val="000000"/>
                <w:sz w:val="22"/>
              </w:rPr>
              <w:t>WHSOP 001</w:t>
            </w:r>
            <w:r>
              <w:rPr>
                <w:rFonts w:ascii="Calibri" w:hAnsi="Calibri"/>
                <w:b w:val="0"/>
                <w:i w:val="0"/>
                <w:color w:val="000000"/>
                <w:sz w:val="14"/>
              </w:rPr>
            </w:r>
          </w:p>
        </w:tc>
        <w:tc>
          <w:tcPr>
            <w:tcW w:type="dxa" w:w="3631"/>
          </w:tcPr>
          <w:p>
            <w:r/>
            <w:r>
              <w:rPr>
                <w:rFonts w:ascii="Calibri" w:hAnsi="Calibri"/>
                <w:b w:val="0"/>
                <w:i w:val="0"/>
                <w:color w:val="000000"/>
                <w:sz w:val="22"/>
              </w:rPr>
              <w:t>Прием, складирање, евиденција и издавање</w:t>
            </w:r>
            <w:r>
              <w:rPr>
                <w:rFonts w:ascii="Calibri" w:hAnsi="Calibri"/>
                <w:b w:val="0"/>
                <w:i w:val="0"/>
                <w:color w:val="000000"/>
                <w:sz w:val="14"/>
              </w:rPr>
              <w:t xml:space="preserve"> | </w:t>
            </w:r>
            <w:r>
              <w:rPr>
                <w:rFonts w:ascii="Calibri" w:hAnsi="Calibri"/>
                <w:b w:val="0"/>
                <w:i w:val="0"/>
                <w:color w:val="000000"/>
                <w:sz w:val="14"/>
              </w:rPr>
              <w:t>Reception, storage, record and issuing</w:t>
            </w:r>
          </w:p>
        </w:tc>
      </w:tr>
      <w:tr>
        <w:tc>
          <w:tcPr>
            <w:tcW w:type="dxa" w:w="2533"/>
          </w:tcPr>
          <w:p>
            <w:r/>
            <w:r>
              <w:rPr>
                <w:rFonts w:ascii="Calibri" w:hAnsi="Calibri"/>
                <w:b w:val="0"/>
                <w:i w:val="0"/>
                <w:color w:val="000000"/>
                <w:sz w:val="22"/>
              </w:rPr>
              <w:t>QCSOP 011</w:t>
            </w:r>
            <w:r>
              <w:rPr>
                <w:rFonts w:ascii="Calibri" w:hAnsi="Calibri"/>
                <w:b w:val="0"/>
                <w:i w:val="0"/>
                <w:color w:val="000000"/>
                <w:sz w:val="14"/>
              </w:rPr>
            </w:r>
          </w:p>
        </w:tc>
        <w:tc>
          <w:tcPr>
            <w:tcW w:type="dxa" w:w="3631"/>
          </w:tcPr>
          <w:p>
            <w:r/>
            <w:r>
              <w:rPr>
                <w:rFonts w:ascii="Calibri" w:hAnsi="Calibri"/>
                <w:b w:val="0"/>
                <w:i w:val="0"/>
                <w:color w:val="000000"/>
                <w:sz w:val="22"/>
              </w:rPr>
              <w:t>Земање мостри</w:t>
            </w:r>
            <w:r>
              <w:rPr>
                <w:rFonts w:ascii="Calibri" w:hAnsi="Calibri"/>
                <w:b w:val="0"/>
                <w:i w:val="0"/>
                <w:color w:val="000000"/>
                <w:sz w:val="14"/>
              </w:rPr>
              <w:t xml:space="preserve"> | </w:t>
            </w:r>
            <w:r>
              <w:rPr>
                <w:rFonts w:ascii="Calibri" w:hAnsi="Calibri"/>
                <w:b w:val="0"/>
                <w:i w:val="0"/>
                <w:color w:val="000000"/>
                <w:sz w:val="14"/>
              </w:rPr>
              <w:t>Sampling</w:t>
            </w:r>
          </w:p>
        </w:tc>
      </w:tr>
      <w:tr>
        <w:tc>
          <w:tcPr>
            <w:tcW w:type="dxa" w:w="2533"/>
          </w:tcPr>
          <w:p>
            <w:r/>
            <w:r>
              <w:rPr>
                <w:rFonts w:ascii="Calibri" w:hAnsi="Calibri"/>
                <w:b w:val="0"/>
                <w:i w:val="0"/>
                <w:color w:val="000000"/>
                <w:sz w:val="22"/>
              </w:rPr>
              <w:t>QAS-05-001 / QAS-05-002</w:t>
            </w:r>
            <w:r>
              <w:rPr>
                <w:rFonts w:ascii="Calibri" w:hAnsi="Calibri"/>
                <w:b w:val="0"/>
                <w:i w:val="0"/>
                <w:color w:val="000000"/>
                <w:sz w:val="14"/>
              </w:rPr>
            </w:r>
          </w:p>
        </w:tc>
        <w:tc>
          <w:tcPr>
            <w:tcW w:type="dxa" w:w="3631"/>
          </w:tcPr>
          <w:p>
            <w:r/>
            <w:r>
              <w:rPr>
                <w:rFonts w:ascii="Calibri" w:hAnsi="Calibri"/>
                <w:b w:val="0"/>
                <w:i w:val="0"/>
                <w:color w:val="000000"/>
                <w:sz w:val="22"/>
              </w:rPr>
              <w:t>CAPA; Отстапувања</w:t>
            </w:r>
            <w:r>
              <w:rPr>
                <w:rFonts w:ascii="Calibri" w:hAnsi="Calibri"/>
                <w:b w:val="0"/>
                <w:i w:val="0"/>
                <w:color w:val="000000"/>
                <w:sz w:val="14"/>
              </w:rPr>
              <w:t xml:space="preserve"> | </w:t>
            </w:r>
            <w:r>
              <w:rPr>
                <w:rFonts w:ascii="Calibri" w:hAnsi="Calibri"/>
                <w:b w:val="0"/>
                <w:i w:val="0"/>
                <w:color w:val="000000"/>
                <w:sz w:val="14"/>
              </w:rPr>
              <w:t>CAPA; Deviations</w:t>
            </w:r>
          </w:p>
        </w:tc>
      </w:tr>
      <w:tr>
        <w:tc>
          <w:tcPr>
            <w:tcW w:type="dxa" w:w="2533"/>
          </w:tcPr>
          <w:p>
            <w:r/>
            <w:r>
              <w:rPr>
                <w:rFonts w:ascii="Calibri" w:hAnsi="Calibri"/>
                <w:b w:val="0"/>
                <w:i w:val="0"/>
                <w:color w:val="000000"/>
                <w:sz w:val="22"/>
              </w:rPr>
              <w:t>QAS-08-001</w:t>
            </w:r>
            <w:r>
              <w:rPr>
                <w:rFonts w:ascii="Calibri" w:hAnsi="Calibri"/>
                <w:b w:val="0"/>
                <w:i w:val="0"/>
                <w:color w:val="000000"/>
                <w:sz w:val="14"/>
              </w:rPr>
            </w:r>
          </w:p>
        </w:tc>
        <w:tc>
          <w:tcPr>
            <w:tcW w:type="dxa" w:w="3631"/>
          </w:tcPr>
          <w:p>
            <w:r/>
            <w:r>
              <w:rPr>
                <w:rFonts w:ascii="Calibri" w:hAnsi="Calibri"/>
                <w:b w:val="0"/>
                <w:i w:val="0"/>
                <w:color w:val="000000"/>
                <w:sz w:val="22"/>
              </w:rPr>
              <w:t>Контрола на промени</w:t>
            </w:r>
            <w:r>
              <w:rPr>
                <w:rFonts w:ascii="Calibri" w:hAnsi="Calibri"/>
                <w:b w:val="0"/>
                <w:i w:val="0"/>
                <w:color w:val="000000"/>
                <w:sz w:val="14"/>
              </w:rPr>
              <w:t xml:space="preserve"> | </w:t>
            </w:r>
            <w:r>
              <w:rPr>
                <w:rFonts w:ascii="Calibri" w:hAnsi="Calibri"/>
                <w:b w:val="0"/>
                <w:i w:val="0"/>
                <w:color w:val="000000"/>
                <w:sz w:val="14"/>
              </w:rPr>
              <w:t>Change control</w:t>
            </w:r>
          </w:p>
        </w:tc>
      </w:tr>
      <w:tr>
        <w:tc>
          <w:tcPr>
            <w:tcW w:type="dxa" w:w="2533"/>
          </w:tcPr>
          <w:p>
            <w:r/>
            <w:r>
              <w:rPr>
                <w:rFonts w:ascii="Calibri" w:hAnsi="Calibri"/>
                <w:b w:val="0"/>
                <w:i w:val="0"/>
                <w:color w:val="000000"/>
                <w:sz w:val="22"/>
              </w:rPr>
              <w:t>QAS-10-003</w:t>
            </w:r>
            <w:r>
              <w:rPr>
                <w:rFonts w:ascii="Calibri" w:hAnsi="Calibri"/>
                <w:b w:val="0"/>
                <w:i w:val="0"/>
                <w:color w:val="000000"/>
                <w:sz w:val="14"/>
              </w:rPr>
            </w:r>
          </w:p>
        </w:tc>
        <w:tc>
          <w:tcPr>
            <w:tcW w:type="dxa" w:w="3631"/>
          </w:tcPr>
          <w:p>
            <w:r/>
            <w:r>
              <w:rPr>
                <w:rFonts w:ascii="Calibri" w:hAnsi="Calibri"/>
                <w:b w:val="0"/>
                <w:i w:val="0"/>
                <w:color w:val="000000"/>
                <w:sz w:val="22"/>
              </w:rPr>
              <w:t>Квалификација на добавувачи</w:t>
            </w:r>
            <w:r>
              <w:rPr>
                <w:rFonts w:ascii="Calibri" w:hAnsi="Calibri"/>
                <w:b w:val="0"/>
                <w:i w:val="0"/>
                <w:color w:val="000000"/>
                <w:sz w:val="14"/>
              </w:rPr>
              <w:t xml:space="preserve"> | </w:t>
            </w:r>
            <w:r>
              <w:rPr>
                <w:rFonts w:ascii="Calibri" w:hAnsi="Calibri"/>
                <w:b w:val="0"/>
                <w:i w:val="0"/>
                <w:color w:val="000000"/>
                <w:sz w:val="14"/>
              </w:rPr>
              <w:t>Vendor qualification</w:t>
            </w:r>
          </w:p>
        </w:tc>
      </w:tr>
      <w:tr>
        <w:tc>
          <w:tcPr>
            <w:tcW w:type="dxa" w:w="2533"/>
          </w:tcPr>
          <w:p>
            <w:r/>
            <w:r>
              <w:rPr>
                <w:rFonts w:ascii="Calibri" w:hAnsi="Calibri"/>
                <w:b w:val="0"/>
                <w:i w:val="0"/>
                <w:color w:val="000000"/>
                <w:sz w:val="22"/>
              </w:rPr>
              <w:t>PRO-05-001</w:t>
            </w:r>
            <w:r>
              <w:rPr>
                <w:rFonts w:ascii="Calibri" w:hAnsi="Calibri"/>
                <w:b w:val="0"/>
                <w:i w:val="0"/>
                <w:color w:val="000000"/>
                <w:sz w:val="14"/>
              </w:rPr>
            </w:r>
          </w:p>
        </w:tc>
        <w:tc>
          <w:tcPr>
            <w:tcW w:type="dxa" w:w="3631"/>
          </w:tcPr>
          <w:p>
            <w:r/>
            <w:r>
              <w:rPr>
                <w:rFonts w:ascii="Calibri" w:hAnsi="Calibri"/>
                <w:b w:val="0"/>
                <w:i w:val="0"/>
                <w:color w:val="000000"/>
                <w:sz w:val="22"/>
              </w:rPr>
              <w:t>Управување со отпад од канабис</w:t>
            </w:r>
            <w:r>
              <w:rPr>
                <w:rFonts w:ascii="Calibri" w:hAnsi="Calibri"/>
                <w:b w:val="0"/>
                <w:i w:val="0"/>
                <w:color w:val="000000"/>
                <w:sz w:val="14"/>
              </w:rPr>
              <w:t xml:space="preserve"> | </w:t>
            </w:r>
            <w:r>
              <w:rPr>
                <w:rFonts w:ascii="Calibri" w:hAnsi="Calibri"/>
                <w:b w:val="0"/>
                <w:i w:val="0"/>
                <w:color w:val="000000"/>
                <w:sz w:val="14"/>
              </w:rPr>
              <w:t>Cannabis waste management</w:t>
            </w:r>
          </w:p>
        </w:tc>
      </w:tr>
      <w:tr>
        <w:tc>
          <w:tcPr>
            <w:tcW w:type="dxa" w:w="2533"/>
          </w:tcPr>
          <w:p>
            <w:r/>
            <w:r>
              <w:rPr>
                <w:rFonts w:ascii="Calibri" w:hAnsi="Calibri"/>
                <w:b w:val="0"/>
                <w:i w:val="0"/>
                <w:color w:val="000000"/>
                <w:sz w:val="22"/>
              </w:rPr>
              <w:t>WHT 003</w:t>
            </w:r>
            <w:r>
              <w:rPr>
                <w:rFonts w:ascii="Calibri" w:hAnsi="Calibri"/>
                <w:b w:val="0"/>
                <w:i w:val="0"/>
                <w:color w:val="000000"/>
                <w:sz w:val="14"/>
              </w:rPr>
            </w:r>
          </w:p>
        </w:tc>
        <w:tc>
          <w:tcPr>
            <w:tcW w:type="dxa" w:w="3631"/>
          </w:tcPr>
          <w:p>
            <w:r/>
            <w:r>
              <w:rPr>
                <w:rFonts w:ascii="Calibri" w:hAnsi="Calibri"/>
                <w:b w:val="0"/>
                <w:i w:val="0"/>
                <w:color w:val="000000"/>
                <w:sz w:val="22"/>
              </w:rPr>
              <w:t>Етикета за транспортна кутија (UBID)</w:t>
            </w:r>
            <w:r>
              <w:rPr>
                <w:rFonts w:ascii="Calibri" w:hAnsi="Calibri"/>
                <w:b w:val="0"/>
                <w:i w:val="0"/>
                <w:color w:val="000000"/>
                <w:sz w:val="14"/>
              </w:rPr>
              <w:t xml:space="preserve"> | </w:t>
            </w:r>
            <w:r>
              <w:rPr>
                <w:rFonts w:ascii="Calibri" w:hAnsi="Calibri"/>
                <w:b w:val="0"/>
                <w:i w:val="0"/>
                <w:color w:val="000000"/>
                <w:sz w:val="14"/>
              </w:rPr>
              <w:t>Transport box label (UBID)</w:t>
            </w:r>
          </w:p>
        </w:tc>
      </w:tr>
    </w:tbl>
    <w:tbl>
      <w:tblPr>
        <w:tblW w:type="auto" w:w="0"/>
        <w:jc w:val="center"/>
        <w:tblLayout w:type="fixed"/>
        <w:tblLook w:firstColumn="1" w:firstRow="1" w:lastColumn="0" w:lastRow="0" w:noHBand="0" w:noVBand="1" w:val="04A0"/>
        <w:tblLayout w:type="fixed"/>
      </w:tblPr>
      <w:tblGrid>
        <w:gridCol w:w="5233"/>
        <w:gridCol w:w="5233"/>
      </w:tblGrid>
      <w:tr>
        <w:tc>
          <w:tcPr>
            <w:tcW w:type="dxa" w:w="5102"/>
            <w:shd w:val="clear" w:color="auto" w:fill="E8E8E8"/>
            <w:tcBorders>
              <w:top w:val="nil"/>
              <w:left w:val="nil"/>
              <w:bottom w:val="nil"/>
              <w:right w:val="single" w:sz="4" w:color="000000"/>
            </w:tcBorders>
          </w:tcPr>
          <w:p>
            <w:pPr>
              <w:pStyle w:val="Heading1"/>
            </w:pPr>
            <w:r/>
            <w:r>
              <w:rPr>
                <w:rFonts w:ascii="Calibri" w:hAnsi="Calibri"/>
                <w:b/>
                <w:i w:val="0"/>
                <w:color w:val="000000"/>
                <w:sz w:val="24"/>
              </w:rPr>
              <w:t>9.0 РЕВИЗИЈА</w:t>
            </w:r>
          </w:p>
        </w:tc>
        <w:tc>
          <w:tcPr>
            <w:tcW w:type="dxa" w:w="5102"/>
            <w:shd w:val="clear" w:color="auto" w:fill="E8E8E8"/>
            <w:tcBorders>
              <w:top w:val="nil"/>
              <w:left w:val="single" w:sz="4" w:color="000000"/>
              <w:bottom w:val="nil"/>
              <w:right w:val="nil"/>
            </w:tcBorders>
          </w:tcPr>
          <w:p>
            <w:r/>
            <w:r>
              <w:rPr>
                <w:rFonts w:ascii="Calibri" w:hAnsi="Calibri"/>
                <w:b/>
                <w:i w:val="0"/>
                <w:color w:val="595959"/>
                <w:sz w:val="24"/>
              </w:rPr>
              <w:t>9.0 REVISION</w:t>
            </w:r>
          </w:p>
        </w:tc>
      </w:tr>
    </w:tbl>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2974"/>
        <w:gridCol w:w="1474"/>
        <w:gridCol w:w="6017"/>
      </w:tblGrid>
      <w:tr>
        <w:trPr>
          <w:tblHeader w:val="true"/>
        </w:trPr>
        <w:tc>
          <w:tcPr>
            <w:shd w:val="clear" w:color="auto" w:fill="D9E2F3"/>
            <w:tcW w:type="dxa" w:w="2974"/>
          </w:tcPr>
          <w:p>
            <w:r/>
            <w:r>
              <w:rPr>
                <w:rFonts w:ascii="Calibri" w:hAnsi="Calibri"/>
                <w:b/>
                <w:i w:val="0"/>
                <w:color w:val="000000"/>
                <w:sz w:val="22"/>
              </w:rPr>
              <w:t>Верзија</w:t>
            </w:r>
            <w:r>
              <w:rPr>
                <w:rFonts w:ascii="Calibri" w:hAnsi="Calibri"/>
                <w:b w:val="0"/>
                <w:i w:val="0"/>
                <w:color w:val="000000"/>
                <w:sz w:val="14"/>
              </w:rPr>
              <w:t xml:space="preserve"> | </w:t>
            </w:r>
            <w:r>
              <w:rPr>
                <w:rFonts w:ascii="Calibri" w:hAnsi="Calibri"/>
                <w:b/>
                <w:i w:val="0"/>
                <w:color w:val="000000"/>
                <w:sz w:val="14"/>
              </w:rPr>
              <w:t>Version</w:t>
            </w:r>
          </w:p>
        </w:tc>
        <w:tc>
          <w:tcPr>
            <w:shd w:val="clear" w:color="auto" w:fill="D9E2F3"/>
            <w:tcW w:type="dxa" w:w="1474"/>
          </w:tcPr>
          <w:p>
            <w:r/>
            <w:r>
              <w:rPr>
                <w:rFonts w:ascii="Calibri" w:hAnsi="Calibri"/>
                <w:b/>
                <w:i w:val="0"/>
                <w:color w:val="000000"/>
                <w:sz w:val="22"/>
              </w:rPr>
              <w:t>Датум</w:t>
            </w:r>
            <w:r>
              <w:rPr>
                <w:rFonts w:ascii="Calibri" w:hAnsi="Calibri"/>
                <w:b w:val="0"/>
                <w:i w:val="0"/>
                <w:color w:val="000000"/>
                <w:sz w:val="14"/>
              </w:rPr>
              <w:t xml:space="preserve"> | </w:t>
            </w:r>
            <w:r>
              <w:rPr>
                <w:rFonts w:ascii="Calibri" w:hAnsi="Calibri"/>
                <w:b/>
                <w:i w:val="0"/>
                <w:color w:val="000000"/>
                <w:sz w:val="14"/>
              </w:rPr>
              <w:t>Date</w:t>
            </w:r>
          </w:p>
        </w:tc>
        <w:tc>
          <w:tcPr>
            <w:shd w:val="clear" w:color="auto" w:fill="D9E2F3"/>
            <w:tcW w:type="dxa" w:w="6017"/>
          </w:tcPr>
          <w:p>
            <w:r/>
            <w:r>
              <w:rPr>
                <w:rFonts w:ascii="Calibri" w:hAnsi="Calibri"/>
                <w:b/>
                <w:i w:val="0"/>
                <w:color w:val="000000"/>
                <w:sz w:val="22"/>
              </w:rPr>
              <w:t>Опис на измени</w:t>
            </w:r>
            <w:r>
              <w:rPr>
                <w:rFonts w:ascii="Calibri" w:hAnsi="Calibri"/>
                <w:b w:val="0"/>
                <w:i w:val="0"/>
                <w:color w:val="000000"/>
                <w:sz w:val="14"/>
              </w:rPr>
              <w:t xml:space="preserve"> | </w:t>
            </w:r>
            <w:r>
              <w:rPr>
                <w:rFonts w:ascii="Calibri" w:hAnsi="Calibri"/>
                <w:b/>
                <w:i w:val="0"/>
                <w:color w:val="000000"/>
                <w:sz w:val="14"/>
              </w:rPr>
              <w:t>Description of changes</w:t>
            </w:r>
          </w:p>
        </w:tc>
      </w:tr>
      <w:tr>
        <w:tc>
          <w:tcPr>
            <w:tcW w:type="dxa" w:w="2974"/>
          </w:tcPr>
          <w:p>
            <w:r/>
            <w:r>
              <w:rPr>
                <w:rFonts w:ascii="Calibri" w:hAnsi="Calibri"/>
                <w:b w:val="0"/>
                <w:i w:val="0"/>
                <w:color w:val="000000"/>
                <w:sz w:val="22"/>
              </w:rPr>
              <w:t>01</w:t>
            </w:r>
            <w:r>
              <w:rPr>
                <w:rFonts w:ascii="Calibri" w:hAnsi="Calibri"/>
                <w:b w:val="0"/>
                <w:i w:val="0"/>
                <w:color w:val="000000"/>
                <w:sz w:val="14"/>
              </w:rPr>
            </w:r>
          </w:p>
        </w:tc>
        <w:tc>
          <w:tcPr>
            <w:tcW w:type="dxa" w:w="1474"/>
          </w:tcPr>
          <w:p>
            <w:r/>
            <w:r>
              <w:rPr>
                <w:rFonts w:ascii="Calibri" w:hAnsi="Calibri"/>
                <w:b w:val="0"/>
                <w:i w:val="0"/>
                <w:color w:val="000000"/>
                <w:sz w:val="22"/>
              </w:rPr>
            </w:r>
            <w:r>
              <w:rPr>
                <w:rFonts w:ascii="Calibri" w:hAnsi="Calibri"/>
                <w:b w:val="0"/>
                <w:i w:val="0"/>
                <w:color w:val="000000"/>
                <w:sz w:val="14"/>
              </w:rPr>
            </w:r>
          </w:p>
        </w:tc>
        <w:tc>
          <w:tcPr>
            <w:tcW w:type="dxa" w:w="6017"/>
          </w:tcPr>
          <w:p>
            <w:r/>
            <w:r>
              <w:rPr>
                <w:rFonts w:ascii="Calibri" w:hAnsi="Calibri"/>
                <w:b w:val="0"/>
                <w:i w:val="0"/>
                <w:color w:val="000000"/>
                <w:sz w:val="22"/>
              </w:rPr>
              <w:t>Нова СОП; ги обединува внатрешните движења на опојни дроги (производ, мостри, пропагационен материјал, отпад); заменува ги соодветните делови на PRO-06-001 и LO_SOP_006.</w:t>
            </w:r>
            <w:r>
              <w:rPr>
                <w:rFonts w:ascii="Calibri" w:hAnsi="Calibri"/>
                <w:b w:val="0"/>
                <w:i w:val="0"/>
                <w:color w:val="000000"/>
                <w:sz w:val="14"/>
              </w:rPr>
              <w:t xml:space="preserve"> | </w:t>
            </w:r>
            <w:r>
              <w:rPr>
                <w:rFonts w:ascii="Calibri" w:hAnsi="Calibri"/>
                <w:b w:val="0"/>
                <w:i w:val="0"/>
                <w:color w:val="000000"/>
                <w:sz w:val="14"/>
              </w:rPr>
              <w:t>New SOP; consolidates inland movements of narcotic drugs (product, samples, propagation material, waste); supersedes the relevant sections of PRO-06-001 and LO_SOP_006.</w:t>
            </w:r>
          </w:p>
        </w:tc>
      </w:tr>
    </w:tbl>
    <w:sectPr w:rsidR="00433AE1" w:rsidRPr="00E10D5A" w:rsidSect="00522430">
      <w:headerReference w:type="default" r:id="rId7"/>
      <w:footerReference w:type="default" r:id="rId8"/>
      <w:pgSz w:w="11906" w:h="16838" w:code="9"/>
      <w:pgMar w:top="540" w:right="720" w:bottom="630" w:left="720" w:header="56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C77" w14:textId="77777777" w:rsidR="00E25461" w:rsidRDefault="00E25461">
      <w:r>
        <w:separator/>
      </w:r>
    </w:p>
  </w:endnote>
  <w:endnote w:type="continuationSeparator" w:id="0">
    <w:p w14:paraId="0214EC49" w14:textId="77777777" w:rsidR="00E25461" w:rsidRDefault="00E25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003830"/>
      <w:docPartObj>
        <w:docPartGallery w:val="Page Numbers (Bottom of Page)"/>
        <w:docPartUnique/>
      </w:docPartObj>
    </w:sdtPr>
    <w:sdtContent>
      <w:sdt>
        <w:sdtPr>
          <w:id w:val="-1769616900"/>
          <w:docPartObj>
            <w:docPartGallery w:val="Page Numbers (Top of Page)"/>
            <w:docPartUnique/>
          </w:docPartObj>
        </w:sdtPr>
        <w:sdtContent>
          <w:p w14:paraId="0423456F" w14:textId="3FFEC477" w:rsidR="0034733B" w:rsidRDefault="00997218">
            <w:pPr>
              <w:jc w:val="right"/>
            </w:pPr>
            <w:r>
              <w:t xml:space="preserve"> </w:t>
            </w:r>
            <w:r w:rsidR="00000000">
              <w:t xml:space="preserve">Page </w:t>
            </w:r>
            <w:r w:rsidR="00000000">
              <w:rPr>
                <w:b/>
                <w:bCs/>
                <w:sz w:val="24"/>
                <w:szCs w:val="24"/>
              </w:rPr>
              <w:fldChar w:fldCharType="begin"/>
            </w:r>
            <w:r w:rsidR="00000000">
              <w:rPr>
                <w:b/>
                <w:bCs/>
              </w:rPr>
              <w:instrText xml:space="preserve"> PAGE </w:instrText>
            </w:r>
            <w:r w:rsidR="00000000">
              <w:rPr>
                <w:b/>
                <w:bCs/>
                <w:sz w:val="24"/>
                <w:szCs w:val="24"/>
              </w:rPr>
              <w:fldChar w:fldCharType="separate"/>
            </w:r>
            <w:r w:rsidR="00000000">
              <w:rPr>
                <w:b/>
                <w:bCs/>
                <w:noProof/>
              </w:rPr>
              <w:t>2</w:t>
            </w:r>
            <w:r w:rsidR="00000000">
              <w:rPr>
                <w:b/>
                <w:bCs/>
                <w:sz w:val="24"/>
                <w:szCs w:val="24"/>
              </w:rPr>
              <w:fldChar w:fldCharType="end"/>
            </w:r>
            <w:r w:rsidR="00000000">
              <w:t xml:space="preserve"> of </w:t>
            </w:r>
            <w:r w:rsidR="00000000">
              <w:rPr>
                <w:b/>
                <w:bCs/>
                <w:sz w:val="24"/>
                <w:szCs w:val="24"/>
              </w:rPr>
              <w:fldChar w:fldCharType="begin"/>
            </w:r>
            <w:r w:rsidR="00000000">
              <w:rPr>
                <w:b/>
                <w:bCs/>
              </w:rPr>
              <w:instrText xml:space="preserve"> NUMPAGES  </w:instrText>
            </w:r>
            <w:r w:rsidR="00000000">
              <w:rPr>
                <w:b/>
                <w:bCs/>
                <w:sz w:val="24"/>
                <w:szCs w:val="24"/>
              </w:rPr>
              <w:fldChar w:fldCharType="separate"/>
            </w:r>
            <w:r w:rsidR="00000000">
              <w:rPr>
                <w:b/>
                <w:bCs/>
                <w:noProof/>
              </w:rPr>
              <w:t>2</w:t>
            </w:r>
            <w:r w:rsidR="00000000">
              <w:rPr>
                <w:b/>
                <w:bCs/>
                <w:sz w:val="24"/>
                <w:szCs w:val="24"/>
              </w:rPr>
              <w:fldChar w:fldCharType="end"/>
            </w:r>
          </w:p>
        </w:sdtContent>
      </w:sdt>
    </w:sdtContent>
  </w:sdt>
  <w:p w14:paraId="582B5DBC" w14:textId="77777777" w:rsidR="0034733B" w:rsidRDefault="003473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26041" w14:textId="77777777" w:rsidR="00E25461" w:rsidRDefault="00E25461">
      <w:r>
        <w:separator/>
      </w:r>
    </w:p>
  </w:footnote>
  <w:footnote w:type="continuationSeparator" w:id="0">
    <w:p w14:paraId="68847301" w14:textId="77777777" w:rsidR="00E25461" w:rsidRDefault="00E25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17" w:type="pct"/>
      <w:jc w:val="center"/>
      <w:tblBorders>
        <w:top w:val="single" w:sz="8" w:space="0" w:color="7F7F7F"/>
        <w:bottom w:val="single" w:sz="8" w:space="0" w:color="7F7F7F"/>
        <w:insideH w:val="single" w:sz="4" w:space="0" w:color="7F7F7F"/>
      </w:tblBorders>
      <w:tblCellMar>
        <w:left w:w="10" w:type="dxa"/>
        <w:right w:w="10" w:type="dxa"/>
      </w:tblCellMar>
      <w:tblLook w:val="04A0" w:firstRow="1" w:lastRow="0" w:firstColumn="1" w:lastColumn="0" w:noHBand="0" w:noVBand="1"/>
    </w:tblPr>
    <w:tblGrid>
      <w:gridCol w:w="1259"/>
      <w:gridCol w:w="7830"/>
      <w:gridCol w:w="1622"/>
    </w:tblGrid>
    <w:tr w:rsidR="00CB2275" w:rsidRPr="008035CF" w14:paraId="1989F723" w14:textId="77777777" w:rsidTr="00A20230">
      <w:trPr>
        <w:trHeight w:val="880"/>
        <w:jc w:val="center"/>
      </w:trPr>
      <w:tc>
        <w:tcPr>
          <w:tcW w:w="588" w:type="pct"/>
          <w:vMerge w:val="restart"/>
          <w:vAlign w:val="center"/>
        </w:tcPr>
        <w:p w14:paraId="1CC0778B" w14:textId="77777777" w:rsidR="0034733B" w:rsidRPr="00BB324F" w:rsidRDefault="00000000" w:rsidP="005D26C6">
          <w:pPr>
            <w:tabs>
              <w:tab w:val="center" w:pos="4513"/>
              <w:tab w:val="right" w:pos="9026"/>
            </w:tabs>
            <w:spacing w:line="192" w:lineRule="auto"/>
            <w:contextualSpacing/>
            <w:jc w:val="center"/>
            <w:rPr>
              <w:rFonts w:ascii="Calibri" w:hAnsi="Calibri" w:cs="Calibri"/>
            </w:rPr>
          </w:pPr>
          <w:bookmarkStart w:id="0" w:name="_Hlk119928939"/>
          <w:r w:rsidRPr="008035CF">
            <w:rPr>
              <w:rFonts w:ascii="Calibri" w:eastAsia="Calibri" w:hAnsi="Calibri" w:cs="Calibri"/>
              <w:b/>
              <w:bCs/>
              <w:noProof/>
            </w:rPr>
            <w:drawing>
              <wp:anchor distT="0" distB="0" distL="114300" distR="114300" simplePos="0" relativeHeight="251661312" behindDoc="0" locked="0" layoutInCell="1" allowOverlap="1" wp14:anchorId="3F3B7D12" wp14:editId="313BF894">
                <wp:simplePos x="0" y="0"/>
                <wp:positionH relativeFrom="column">
                  <wp:posOffset>219031</wp:posOffset>
                </wp:positionH>
                <wp:positionV relativeFrom="paragraph">
                  <wp:posOffset>4445</wp:posOffset>
                </wp:positionV>
                <wp:extent cx="476250" cy="534254"/>
                <wp:effectExtent l="0" t="0" r="0" b="0"/>
                <wp:wrapNone/>
                <wp:docPr id="2070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6552" name="Picture 1626586552"/>
                        <pic:cNvPicPr/>
                      </pic:nvPicPr>
                      <pic:blipFill rotWithShape="1">
                        <a:blip r:embed="rId1">
                          <a:extLst>
                            <a:ext uri="{28A0092B-C50C-407E-A947-70E740481C1C}">
                              <a14:useLocalDpi xmlns:a14="http://schemas.microsoft.com/office/drawing/2010/main" val="0"/>
                            </a:ext>
                          </a:extLst>
                        </a:blip>
                        <a:srcRect l="37228" t="355" r="36609" b="39073"/>
                        <a:stretch>
                          <a:fillRect/>
                        </a:stretch>
                      </pic:blipFill>
                      <pic:spPr bwMode="auto">
                        <a:xfrm>
                          <a:off x="0" y="0"/>
                          <a:ext cx="476250" cy="534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655" w:type="pct"/>
          <w:vMerge w:val="restart"/>
          <w:vAlign w:val="center"/>
        </w:tcPr>
        <w:p w14:paraId="1EB6C8E5" w14:textId="77777777" w:rsidR="0034733B" w:rsidRPr="002325F2" w:rsidRDefault="00000000" w:rsidP="002325F2">
          <w:pPr>
            <w:tabs>
              <w:tab w:val="center" w:pos="4513"/>
              <w:tab w:val="right" w:pos="9026"/>
            </w:tabs>
            <w:spacing w:line="192" w:lineRule="auto"/>
            <w:contextualSpacing/>
            <w:jc w:val="center"/>
            <w:rPr>
              <w:rFonts w:ascii="Calibri" w:eastAsia="Calibri" w:hAnsi="Calibri" w:cs="Calibri"/>
              <w:lang w:val="ru-RU"/>
            </w:rPr>
          </w:pPr>
          <w:r w:rsidRPr="008035CF">
            <w:rPr>
              <w:rFonts w:ascii="Calibri" w:hAnsi="Calibri" w:cs="Calibri"/>
              <w:lang w:val="mk-MK"/>
            </w:rPr>
            <w:t>Име на документ</w:t>
          </w:r>
          <w:r w:rsidRPr="002325F2">
            <w:rPr>
              <w:rFonts w:ascii="Calibri" w:eastAsia="Calibri" w:hAnsi="Calibri" w:cs="Calibri"/>
              <w:lang w:val="ru-RU"/>
            </w:rPr>
            <w:t xml:space="preserve"> | </w:t>
          </w:r>
          <w:r>
            <w:rPr>
              <w:rFonts w:ascii="Calibri" w:eastAsia="Calibri" w:hAnsi="Calibri" w:cs="Calibri"/>
            </w:rPr>
            <w:t>D</w:t>
          </w:r>
          <w:r w:rsidRPr="008035CF">
            <w:rPr>
              <w:rFonts w:ascii="Calibri" w:eastAsia="Calibri" w:hAnsi="Calibri" w:cs="Calibri"/>
            </w:rPr>
            <w:t>ocument</w:t>
          </w:r>
          <w:r w:rsidRPr="002325F2">
            <w:rPr>
              <w:rFonts w:ascii="Calibri" w:eastAsia="Calibri" w:hAnsi="Calibri" w:cs="Calibri"/>
              <w:lang w:val="ru-RU"/>
            </w:rPr>
            <w:t xml:space="preserve"> </w:t>
          </w:r>
          <w:r>
            <w:rPr>
              <w:rFonts w:ascii="Calibri" w:eastAsia="Calibri" w:hAnsi="Calibri" w:cs="Calibri"/>
            </w:rPr>
            <w:t>name</w:t>
          </w:r>
          <w:r w:rsidRPr="002325F2">
            <w:rPr>
              <w:rFonts w:ascii="Calibri" w:eastAsia="Calibri" w:hAnsi="Calibri" w:cs="Calibri"/>
              <w:lang w:val="ru-RU"/>
            </w:rPr>
            <w:t>:</w:t>
          </w:r>
        </w:p>
        <w:p w14:paraId="6545B1E9" w14:textId="54D9CE82" w:rsidR="0034733B" w:rsidRPr="00A96F26" w:rsidRDefault="00000000" w:rsidP="002325F2">
          <w:pPr>
            <w:ind w:left="14"/>
            <w:contextualSpacing/>
            <w:jc w:val="center"/>
            <w:rPr>
              <w:rFonts w:ascii="Calibri" w:hAnsi="Calibri" w:cs="Calibri"/>
            </w:rPr>
          </w:pPr>
          <w:r w:rsidRPr="00522430">
            <w:rPr>
              <w:rFonts w:ascii="Arial Narrow" w:hAnsi="Arial Narrow" w:cs="Arial Narrow"/>
              <w:b/>
              <w:bCs/>
              <w:sz w:val="28"/>
              <w:szCs w:val="28"/>
              <w:lang w:val="mk-MK"/>
            </w:rPr>
            <w:t>Внатрешен (копнен) транспорт на опојни дроги — медицински канабис</w:t>
          </w:r>
          <w:r w:rsidR="002325F2" w:rsidRPr="002325F2">
            <w:rPr>
              <w:rFonts w:ascii="Arial Narrow" w:hAnsi="Arial Narrow" w:cs="Arial Narrow"/>
              <w:b/>
              <w:bCs/>
              <w:sz w:val="24"/>
              <w:szCs w:val="24"/>
            </w:rPr>
            <w:br/>
          </w:r>
          <w:r w:rsidRPr="002325F2">
            <w:rPr>
              <w:rFonts w:ascii="Arial Narrow" w:hAnsi="Arial Narrow" w:cs="Arial Narrow"/>
              <w:b/>
              <w:bCs/>
              <w:sz w:val="28"/>
              <w:szCs w:val="28"/>
              <w:lang w:val="mk-MK"/>
            </w:rPr>
          </w:r>
          <w:r>
            <w:rPr>
              <w:rFonts w:ascii="Arial Narrow" w:hAnsi="Arial Narrow" w:cs="Arial Narrow"/>
              <w:sz w:val="24"/>
              <w:szCs w:val="24"/>
            </w:rPr>
          </w:r>
          <w:r w:rsidR="002325F2">
            <w:rPr>
              <w:rFonts w:ascii="Arial Narrow" w:hAnsi="Arial Narrow" w:cs="Arial Narrow"/>
              <w:sz w:val="24"/>
              <w:szCs w:val="24"/>
            </w:rPr>
          </w:r>
          <w:r w:rsidRPr="002325F2">
            <w:rPr>
              <w:rFonts w:ascii="Arial Narrow" w:hAnsi="Arial Narrow" w:cs="Arial Narrow"/>
            </w:rPr>
            <w:t>Inland Transport of Narcotic Drugs (Euphoric Substances) — Medical Cannabis</w:t>
          </w:r>
        </w:p>
      </w:tc>
      <w:tc>
        <w:tcPr>
          <w:tcW w:w="757" w:type="pct"/>
          <w:tcBorders>
            <w:bottom w:val="single" w:sz="8" w:space="0" w:color="7F7F7F"/>
          </w:tcBorders>
          <w:tcMar>
            <w:left w:w="0" w:type="dxa"/>
            <w:right w:w="0" w:type="dxa"/>
          </w:tcMar>
          <w:vAlign w:val="center"/>
        </w:tcPr>
        <w:p w14:paraId="3DC724BE" w14:textId="77777777" w:rsidR="0034733B" w:rsidRPr="008035CF" w:rsidRDefault="00000000" w:rsidP="00A20230">
          <w:pPr>
            <w:tabs>
              <w:tab w:val="center" w:pos="4513"/>
              <w:tab w:val="right" w:pos="9026"/>
            </w:tabs>
            <w:spacing w:line="192" w:lineRule="auto"/>
            <w:contextualSpacing/>
            <w:jc w:val="right"/>
            <w:rPr>
              <w:rFonts w:ascii="Calibri" w:eastAsia="Calibri" w:hAnsi="Calibri" w:cs="Calibri"/>
            </w:rPr>
          </w:pPr>
          <w:r w:rsidRPr="008035CF">
            <w:rPr>
              <w:rFonts w:ascii="Calibri" w:hAnsi="Calibri" w:cs="Calibri"/>
              <w:lang w:val="mk-MK"/>
            </w:rPr>
            <w:t>Документ</w:t>
          </w:r>
          <w:r w:rsidRPr="008035CF">
            <w:rPr>
              <w:rFonts w:ascii="Calibri" w:hAnsi="Calibri" w:cs="Calibri"/>
            </w:rPr>
            <w:t xml:space="preserve"> </w:t>
          </w:r>
          <w:r w:rsidRPr="008035CF">
            <w:rPr>
              <w:rFonts w:ascii="Calibri" w:hAnsi="Calibri" w:cs="Calibri"/>
              <w:lang w:val="mk-MK"/>
            </w:rPr>
            <w:t>бр.</w:t>
          </w:r>
          <w:r w:rsidRPr="008035CF">
            <w:rPr>
              <w:rFonts w:ascii="Calibri" w:eastAsia="Calibri" w:hAnsi="Calibri" w:cs="Calibri"/>
            </w:rPr>
            <w:t xml:space="preserve"> </w:t>
          </w:r>
          <w:r>
            <w:rPr>
              <w:rFonts w:ascii="Calibri" w:eastAsia="Calibri" w:hAnsi="Calibri" w:cs="Calibri"/>
            </w:rPr>
            <w:t>|</w:t>
          </w:r>
        </w:p>
        <w:p w14:paraId="7927EEBB" w14:textId="77777777" w:rsidR="00A20230" w:rsidRPr="00A20230" w:rsidRDefault="00000000" w:rsidP="00A20230">
          <w:pPr>
            <w:tabs>
              <w:tab w:val="center" w:pos="4513"/>
              <w:tab w:val="right" w:pos="9026"/>
            </w:tabs>
            <w:spacing w:line="192" w:lineRule="auto"/>
            <w:contextualSpacing/>
            <w:jc w:val="right"/>
            <w:rPr>
              <w:rFonts w:ascii="Calibri" w:hAnsi="Calibri" w:cs="Calibri"/>
              <w:b/>
              <w:sz w:val="12"/>
              <w:szCs w:val="14"/>
            </w:rPr>
          </w:pPr>
          <w:r w:rsidRPr="00CB2275">
            <w:rPr>
              <w:rFonts w:ascii="Calibri" w:eastAsia="Calibri" w:hAnsi="Calibri" w:cs="Calibri"/>
              <w:sz w:val="18"/>
              <w:szCs w:val="18"/>
            </w:rPr>
            <w:t>Code of document:</w:t>
          </w:r>
          <w:r>
            <w:rPr>
              <w:rFonts w:ascii="Calibri" w:hAnsi="Calibri" w:cs="Calibri"/>
              <w:sz w:val="18"/>
              <w:szCs w:val="18"/>
            </w:rPr>
            <w:t xml:space="preserve"> </w:t>
          </w:r>
          <w:r>
            <w:rPr>
              <w:rFonts w:ascii="Calibri" w:hAnsi="Calibri" w:cs="Calibri"/>
              <w:b/>
              <w:sz w:val="18"/>
            </w:rPr>
            <w:br/>
          </w:r>
        </w:p>
        <w:p w14:paraId="1BD9527C" w14:textId="1CE33015" w:rsidR="0034733B" w:rsidRPr="00CB2275" w:rsidRDefault="00A20230" w:rsidP="00A20230">
          <w:pPr>
            <w:tabs>
              <w:tab w:val="center" w:pos="4513"/>
              <w:tab w:val="right" w:pos="9026"/>
            </w:tabs>
            <w:spacing w:line="192" w:lineRule="auto"/>
            <w:contextualSpacing/>
            <w:jc w:val="right"/>
            <w:rPr>
              <w:rFonts w:ascii="Calibri" w:eastAsia="Calibri" w:hAnsi="Calibri" w:cs="Calibri"/>
              <w:b/>
              <w:bCs/>
              <w:sz w:val="18"/>
              <w:szCs w:val="18"/>
            </w:rPr>
          </w:pPr>
          <w:r w:rsidRPr="00A20230">
            <w:rPr>
              <w:rFonts w:ascii="Calibri" w:hAnsi="Calibri" w:cs="Calibri"/>
              <w:b/>
              <w:sz w:val="22"/>
              <w:szCs w:val="24"/>
            </w:rPr>
            <w:t>WHSOP_003</w:t>
          </w:r>
          <w:r>
            <w:rPr>
              <w:rFonts w:ascii="Calibri" w:hAnsi="Calibri" w:cs="Calibri"/>
              <w:b/>
              <w:sz w:val="18"/>
            </w:rPr>
            <w:br/>
          </w:r>
          <w:r w:rsidRPr="00A20230">
            <w:rPr>
              <w:rFonts w:ascii="Calibri" w:hAnsi="Calibri" w:cs="Calibri"/>
              <w:b/>
              <w:szCs w:val="22"/>
            </w:rPr>
          </w:r>
          <w:r w:rsidRPr="00A20230">
            <w:rPr>
              <w:rFonts w:ascii="Calibri" w:hAnsi="Calibri" w:cs="Calibri"/>
              <w:b/>
              <w:szCs w:val="22"/>
            </w:rPr>
          </w:r>
        </w:p>
        <w:p w14:paraId="7B3E2121" w14:textId="77777777" w:rsidR="0034733B" w:rsidRPr="00A20230" w:rsidRDefault="0034733B" w:rsidP="00A20230">
          <w:pPr>
            <w:tabs>
              <w:tab w:val="center" w:pos="4513"/>
              <w:tab w:val="right" w:pos="9026"/>
            </w:tabs>
            <w:spacing w:line="192" w:lineRule="auto"/>
            <w:contextualSpacing/>
            <w:jc w:val="right"/>
            <w:rPr>
              <w:rFonts w:ascii="Calibri" w:eastAsia="Calibri" w:hAnsi="Calibri" w:cs="Calibri"/>
              <w:b/>
              <w:bCs/>
              <w:sz w:val="14"/>
              <w:szCs w:val="14"/>
            </w:rPr>
          </w:pPr>
        </w:p>
      </w:tc>
    </w:tr>
    <w:tr w:rsidR="00CB2275" w:rsidRPr="008035CF" w14:paraId="51B2CA04" w14:textId="77777777" w:rsidTr="00522430">
      <w:trPr>
        <w:trHeight w:val="167"/>
        <w:jc w:val="center"/>
      </w:trPr>
      <w:tc>
        <w:tcPr>
          <w:tcW w:w="588" w:type="pct"/>
          <w:vMerge/>
        </w:tcPr>
        <w:p w14:paraId="5CDAAED6" w14:textId="77777777" w:rsidR="0034733B" w:rsidRPr="008035CF" w:rsidRDefault="0034733B" w:rsidP="005D26C6">
          <w:pPr>
            <w:tabs>
              <w:tab w:val="center" w:pos="4513"/>
              <w:tab w:val="right" w:pos="9026"/>
            </w:tabs>
            <w:spacing w:line="192" w:lineRule="auto"/>
            <w:contextualSpacing/>
            <w:rPr>
              <w:rFonts w:ascii="Calibri" w:eastAsia="Calibri" w:hAnsi="Calibri" w:cs="Calibri"/>
              <w:b/>
              <w:bCs/>
            </w:rPr>
          </w:pPr>
        </w:p>
      </w:tc>
      <w:tc>
        <w:tcPr>
          <w:tcW w:w="3655" w:type="pct"/>
          <w:vMerge/>
        </w:tcPr>
        <w:p w14:paraId="4C723FA1" w14:textId="77777777" w:rsidR="0034733B" w:rsidRPr="008035CF" w:rsidRDefault="0034733B" w:rsidP="005D26C6">
          <w:pPr>
            <w:tabs>
              <w:tab w:val="center" w:pos="4513"/>
              <w:tab w:val="right" w:pos="9026"/>
            </w:tabs>
            <w:spacing w:line="192" w:lineRule="auto"/>
            <w:contextualSpacing/>
            <w:rPr>
              <w:rFonts w:ascii="Calibri" w:eastAsia="Calibri" w:hAnsi="Calibri" w:cs="Calibri"/>
            </w:rPr>
          </w:pPr>
        </w:p>
      </w:tc>
      <w:tc>
        <w:tcPr>
          <w:tcW w:w="757" w:type="pct"/>
          <w:tcBorders>
            <w:top w:val="single" w:sz="8" w:space="0" w:color="7F7F7F"/>
            <w:bottom w:val="single" w:sz="8" w:space="0" w:color="7F7F7F"/>
          </w:tcBorders>
          <w:tcMar>
            <w:left w:w="0" w:type="dxa"/>
            <w:right w:w="0" w:type="dxa"/>
          </w:tcMar>
          <w:vAlign w:val="center"/>
        </w:tcPr>
        <w:p w14:paraId="55FFCEF1" w14:textId="49A40F7D" w:rsidR="0034733B" w:rsidRPr="008035CF" w:rsidRDefault="00000000" w:rsidP="005D26C6">
          <w:pPr>
            <w:tabs>
              <w:tab w:val="center" w:pos="4513"/>
              <w:tab w:val="right" w:pos="9026"/>
            </w:tabs>
            <w:spacing w:line="192" w:lineRule="auto"/>
            <w:contextualSpacing/>
            <w:jc w:val="right"/>
            <w:rPr>
              <w:rFonts w:ascii="Calibri" w:eastAsia="Calibri" w:hAnsi="Calibri" w:cs="Calibri"/>
              <w:b/>
            </w:rPr>
          </w:pPr>
          <w:r w:rsidRPr="008035CF">
            <w:rPr>
              <w:rFonts w:ascii="Calibri" w:hAnsi="Calibri" w:cs="Calibri"/>
              <w:lang w:val="mk-MK"/>
            </w:rPr>
            <w:t>Верзија</w:t>
          </w:r>
          <w:r w:rsidR="00A20230">
            <w:rPr>
              <w:rFonts w:ascii="Calibri" w:hAnsi="Calibri" w:cs="Calibri"/>
            </w:rPr>
            <w:t xml:space="preserve"> | </w:t>
          </w:r>
          <w:r w:rsidR="00A20230" w:rsidRPr="00A20230">
            <w:rPr>
              <w:rFonts w:ascii="Calibri" w:hAnsi="Calibri" w:cs="Calibri"/>
              <w:sz w:val="16"/>
              <w:szCs w:val="16"/>
            </w:rPr>
            <w:t>Ver</w:t>
          </w:r>
          <w:r w:rsidRPr="00A20230">
            <w:rPr>
              <w:rFonts w:ascii="Calibri" w:eastAsia="Calibri" w:hAnsi="Calibri" w:cs="Calibri"/>
              <w:sz w:val="16"/>
              <w:szCs w:val="16"/>
            </w:rPr>
            <w:t xml:space="preserve"> </w:t>
          </w:r>
          <w:r w:rsidRPr="008035CF">
            <w:rPr>
              <w:rFonts w:ascii="Calibri" w:eastAsia="Calibri" w:hAnsi="Calibri" w:cs="Calibri"/>
              <w:bCs/>
            </w:rPr>
            <w:t>:</w:t>
          </w:r>
          <w:r w:rsidRPr="008035CF">
            <w:rPr>
              <w:rFonts w:ascii="Calibri" w:eastAsia="Calibri" w:hAnsi="Calibri" w:cs="Calibri"/>
              <w:b/>
            </w:rPr>
            <w:t xml:space="preserve"> </w:t>
          </w:r>
          <w:r w:rsidRPr="008035CF">
            <w:rPr>
              <w:rFonts w:ascii="Calibri" w:eastAsia="Calibri" w:hAnsi="Calibri" w:cs="Calibri"/>
              <w:b/>
              <w:bCs/>
            </w:rPr>
            <w:t>DRAFT</w:t>
          </w:r>
        </w:p>
      </w:tc>
    </w:tr>
  </w:tbl>
  <w:bookmarkEnd w:id="0"/>
  <w:p w14:paraId="3A8D8CB6" w14:textId="31ADD0DC" w:rsidR="00522430" w:rsidRPr="004074EE" w:rsidRDefault="00000000" w:rsidP="00C0038D">
    <w:pPr>
      <w:rPr>
        <w:sz w:val="16"/>
        <w:szCs w:val="16"/>
      </w:rPr>
    </w:pPr>
    <w:r>
      <w:rPr>
        <w:noProof/>
      </w:rPr>
      <w:drawing>
        <wp:anchor distT="0" distB="0" distL="114300" distR="114300" simplePos="0" relativeHeight="251662336" behindDoc="0" locked="0" layoutInCell="1" allowOverlap="1" wp14:anchorId="11090D1D" wp14:editId="2348CF94">
          <wp:simplePos x="0" y="0"/>
          <wp:positionH relativeFrom="column">
            <wp:posOffset>-124460</wp:posOffset>
          </wp:positionH>
          <wp:positionV relativeFrom="paragraph">
            <wp:posOffset>-225425</wp:posOffset>
          </wp:positionV>
          <wp:extent cx="987425" cy="191770"/>
          <wp:effectExtent l="0" t="0" r="3175" b="0"/>
          <wp:wrapNone/>
          <wp:docPr id="27252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22850" t="42357" r="23877" b="43013"/>
                  <a:stretch>
                    <a:fillRect/>
                  </a:stretch>
                </pic:blipFill>
                <pic:spPr bwMode="auto">
                  <a:xfrm>
                    <a:off x="0" y="0"/>
                    <a:ext cx="987425" cy="19177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35A"/>
    <w:multiLevelType w:val="hybridMultilevel"/>
    <w:tmpl w:val="A3B02D1E"/>
    <w:lvl w:ilvl="0" w:tplc="3E9A24C0">
      <w:start w:val="1"/>
      <w:numFmt w:val="bullet"/>
      <w:lvlText w:val="●"/>
      <w:lvlJc w:val="left"/>
      <w:pPr>
        <w:ind w:left="720" w:hanging="360"/>
      </w:pPr>
    </w:lvl>
    <w:lvl w:ilvl="1" w:tplc="26248F2A">
      <w:start w:val="1"/>
      <w:numFmt w:val="bullet"/>
      <w:lvlText w:val="○"/>
      <w:lvlJc w:val="left"/>
      <w:pPr>
        <w:ind w:left="1440" w:hanging="360"/>
      </w:pPr>
    </w:lvl>
    <w:lvl w:ilvl="2" w:tplc="D3C48D08">
      <w:start w:val="1"/>
      <w:numFmt w:val="bullet"/>
      <w:lvlText w:val="■"/>
      <w:lvlJc w:val="left"/>
      <w:pPr>
        <w:ind w:left="2160" w:hanging="360"/>
      </w:pPr>
    </w:lvl>
    <w:lvl w:ilvl="3" w:tplc="10A2765A">
      <w:start w:val="1"/>
      <w:numFmt w:val="bullet"/>
      <w:lvlText w:val="●"/>
      <w:lvlJc w:val="left"/>
      <w:pPr>
        <w:ind w:left="2880" w:hanging="360"/>
      </w:pPr>
    </w:lvl>
    <w:lvl w:ilvl="4" w:tplc="D11221CE">
      <w:start w:val="1"/>
      <w:numFmt w:val="bullet"/>
      <w:lvlText w:val="○"/>
      <w:lvlJc w:val="left"/>
      <w:pPr>
        <w:ind w:left="3600" w:hanging="360"/>
      </w:pPr>
    </w:lvl>
    <w:lvl w:ilvl="5" w:tplc="1C60DA0C">
      <w:start w:val="1"/>
      <w:numFmt w:val="bullet"/>
      <w:lvlText w:val="■"/>
      <w:lvlJc w:val="left"/>
      <w:pPr>
        <w:ind w:left="4320" w:hanging="360"/>
      </w:pPr>
    </w:lvl>
    <w:lvl w:ilvl="6" w:tplc="7E089488">
      <w:start w:val="1"/>
      <w:numFmt w:val="bullet"/>
      <w:lvlText w:val="●"/>
      <w:lvlJc w:val="left"/>
      <w:pPr>
        <w:ind w:left="5040" w:hanging="360"/>
      </w:pPr>
    </w:lvl>
    <w:lvl w:ilvl="7" w:tplc="B24CAB60">
      <w:start w:val="1"/>
      <w:numFmt w:val="bullet"/>
      <w:lvlText w:val="●"/>
      <w:lvlJc w:val="left"/>
      <w:pPr>
        <w:ind w:left="5760" w:hanging="360"/>
      </w:pPr>
    </w:lvl>
    <w:lvl w:ilvl="8" w:tplc="F72C0C38">
      <w:start w:val="1"/>
      <w:numFmt w:val="bullet"/>
      <w:lvlText w:val="●"/>
      <w:lvlJc w:val="left"/>
      <w:pPr>
        <w:ind w:left="6480" w:hanging="360"/>
      </w:pPr>
    </w:lvl>
  </w:abstractNum>
  <w:abstractNum w:abstractNumId="1" w15:restartNumberingAfterBreak="0">
    <w:nsid w:val="154B1930"/>
    <w:multiLevelType w:val="hybridMultilevel"/>
    <w:tmpl w:val="EA8C88A2"/>
    <w:lvl w:ilvl="0" w:tplc="4B1E52F0">
      <w:start w:val="1"/>
      <w:numFmt w:val="decimal"/>
      <w:lvlText w:val="%1."/>
      <w:lvlJc w:val="left"/>
    </w:lvl>
    <w:lvl w:ilvl="1" w:tplc="4E78ACA2">
      <w:numFmt w:val="decimal"/>
      <w:lvlText w:val=""/>
      <w:lvlJc w:val="left"/>
    </w:lvl>
    <w:lvl w:ilvl="2" w:tplc="778A7640">
      <w:numFmt w:val="decimal"/>
      <w:lvlText w:val=""/>
      <w:lvlJc w:val="left"/>
    </w:lvl>
    <w:lvl w:ilvl="3" w:tplc="132AA32C">
      <w:numFmt w:val="decimal"/>
      <w:lvlText w:val=""/>
      <w:lvlJc w:val="left"/>
    </w:lvl>
    <w:lvl w:ilvl="4" w:tplc="52E0D9FA">
      <w:numFmt w:val="decimal"/>
      <w:lvlText w:val=""/>
      <w:lvlJc w:val="left"/>
    </w:lvl>
    <w:lvl w:ilvl="5" w:tplc="07E8AAC2">
      <w:numFmt w:val="decimal"/>
      <w:lvlText w:val=""/>
      <w:lvlJc w:val="left"/>
    </w:lvl>
    <w:lvl w:ilvl="6" w:tplc="66D6AC36">
      <w:numFmt w:val="decimal"/>
      <w:lvlText w:val=""/>
      <w:lvlJc w:val="left"/>
    </w:lvl>
    <w:lvl w:ilvl="7" w:tplc="04801E96">
      <w:numFmt w:val="decimal"/>
      <w:lvlText w:val=""/>
      <w:lvlJc w:val="left"/>
    </w:lvl>
    <w:lvl w:ilvl="8" w:tplc="D206B796">
      <w:numFmt w:val="decimal"/>
      <w:lvlText w:val=""/>
      <w:lvlJc w:val="left"/>
    </w:lvl>
  </w:abstractNum>
  <w:num w:numId="1" w16cid:durableId="1130896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1"/>
    <w:rsid w:val="000B303D"/>
    <w:rsid w:val="001B0C25"/>
    <w:rsid w:val="002325F2"/>
    <w:rsid w:val="00286952"/>
    <w:rsid w:val="0034733B"/>
    <w:rsid w:val="003B7342"/>
    <w:rsid w:val="004137D6"/>
    <w:rsid w:val="00433AE1"/>
    <w:rsid w:val="00522430"/>
    <w:rsid w:val="005A6F39"/>
    <w:rsid w:val="00675692"/>
    <w:rsid w:val="00715928"/>
    <w:rsid w:val="007B736C"/>
    <w:rsid w:val="00865DA3"/>
    <w:rsid w:val="00880834"/>
    <w:rsid w:val="008B48AB"/>
    <w:rsid w:val="009045F7"/>
    <w:rsid w:val="00953DF2"/>
    <w:rsid w:val="00974D3F"/>
    <w:rsid w:val="00997218"/>
    <w:rsid w:val="009A32EF"/>
    <w:rsid w:val="00A20230"/>
    <w:rsid w:val="00A50870"/>
    <w:rsid w:val="00AD5A6C"/>
    <w:rsid w:val="00B44EDD"/>
    <w:rsid w:val="00C51BB8"/>
    <w:rsid w:val="00C84F50"/>
    <w:rsid w:val="00C96049"/>
    <w:rsid w:val="00E10D5A"/>
    <w:rsid w:val="00E25461"/>
    <w:rsid w:val="00EA74E3"/>
    <w:rsid w:val="00F1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FC5D1"/>
  <w15:docId w15:val="{790255BA-E0AD-429B-827F-B589765C1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325F2"/>
    <w:pPr>
      <w:tabs>
        <w:tab w:val="center" w:pos="4680"/>
        <w:tab w:val="right" w:pos="9360"/>
      </w:tabs>
    </w:pPr>
  </w:style>
  <w:style w:type="character" w:customStyle="1" w:styleId="HeaderChar">
    <w:name w:val="Header Char"/>
    <w:basedOn w:val="DefaultParagraphFont"/>
    <w:link w:val="Header"/>
    <w:uiPriority w:val="99"/>
    <w:rsid w:val="002325F2"/>
  </w:style>
  <w:style w:type="paragraph" w:styleId="Footer">
    <w:name w:val="footer"/>
    <w:basedOn w:val="Normal"/>
    <w:link w:val="FooterChar"/>
    <w:uiPriority w:val="99"/>
    <w:unhideWhenUsed/>
    <w:rsid w:val="002325F2"/>
    <w:pPr>
      <w:tabs>
        <w:tab w:val="center" w:pos="4680"/>
        <w:tab w:val="right" w:pos="9360"/>
      </w:tabs>
    </w:pPr>
  </w:style>
  <w:style w:type="character" w:customStyle="1" w:styleId="FooterChar">
    <w:name w:val="Footer Char"/>
    <w:basedOn w:val="DefaultParagraphFont"/>
    <w:link w:val="Footer"/>
    <w:uiPriority w:val="99"/>
    <w:rsid w:val="00232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2723</Words>
  <Characters>15526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PP-QC-AMVR-a02.1-001/2025</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PP-QC-AMVR-a02.1-001/2025</dc:title>
  <dc:creator>Purely Plant GmbH</dc:creator>
  <cp:lastModifiedBy>Blagoj Nikolov</cp:lastModifiedBy>
  <cp:revision>22</cp:revision>
  <cp:lastPrinted>2026-06-18T13:51:00Z</cp:lastPrinted>
  <dcterms:created xsi:type="dcterms:W3CDTF">2026-06-18T08:25:00Z</dcterms:created>
  <dcterms:modified xsi:type="dcterms:W3CDTF">2026-06-18T13:52:00Z</dcterms:modified>
</cp:coreProperties>
</file>