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QASOP_0XX · DRAFT</w:t>
      </w:r>
    </w:p>
    <w:p>
      <w:pPr>
        <w:spacing w:before="80" w:after="160"/>
        <w:jc w:val="center"/>
      </w:pPr>
      <w:r>
        <w:rPr>
          <w:rFonts w:ascii="Calibri" w:hAnsi="Calibri"/>
          <w:b/>
          <w:i w:val="0"/>
          <w:color w:val="000000"/>
          <w:sz w:val="24"/>
        </w:rPr>
        <w:t>Валидација на транспорт — квалификација на транспортни рути (OQ/PQ)</w:t>
      </w:r>
      <w:r>
        <w:rPr>
          <w:rFonts w:ascii="Calibri" w:hAnsi="Calibri"/>
          <w:b w:val="0"/>
          <w:i w:val="0"/>
          <w:color w:val="595959"/>
          <w:sz w:val="20"/>
        </w:rPr>
        <w:t xml:space="preserve"> | </w:t>
      </w:r>
      <w:r>
        <w:rPr>
          <w:rFonts w:ascii="Calibri" w:hAnsi="Calibri"/>
          <w:b/>
          <w:i w:val="0"/>
          <w:color w:val="595959"/>
          <w:sz w:val="24"/>
        </w:rPr>
        <w:t>Transport Validation — Qualification of Transport Lanes (OQ/PQ)</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СОП е да ја пропише методологијата заснована на ризик со која се докажува и одржува дека секоја транспортна рута (лента) што ја користи Пјурли Плант за копнен транспорт на опојни дроги — комбинација на место на испраќање, место на прием, патека, возило, конфигурација на палети и сезона — постојано ги одржува пропишаните услови на температура и влага и интегритетот на пратката, во најлоши реални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SOP is to prescribe the risk-based methodology by which Purely Plant demonstrates and maintains that every transport lane it uses for inland transport of narcotic drugs — the combination of dispatch point, receipt point, route, vehicle, pallet configuration and season — consistently maintains the prescribed temperature and humidity conditions and consignment integrity under worst-case real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Валидацијата е предуслов за употреба на рутата според WHSOP_003: ниту една рута не се користи за рутински транспорт без статус QUALIFIED во регистарот QASOP_0XX_A06.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is a precondition for using a lane under WHSOP_003: no lane is used for routine transport without QUALIFIED status in register QASOP_0XX_A06.</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(а) транспортните возила (камиони) на договорениот превозник што се користат според WHSOP_003, со или без активна контрола на температура; (б) конфигурацијата на пакување: картон со 10 кеси, голема палета (8 картони) и мала палета (4 картони) на евро-палета, завиткани со стреч-фолија и термо-ќебе, како и квалификуваните ладилници; (в) рутите од локацијата Којлија 1043, Петровец, до сите домашни примачи според WHSOP_003; и (г) логерите: USB логерите за температура и влага (мапирање) и логерите за еднократна употреба (во палетите).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 the transport vehicles (trucks) of the contracted carrier used under WHSOP_003, with or without active temperature control; (b) the packaging configuration: a carton of 10 bags, a large pallet (8 cartons) and a small pallet (4 cartons) on a Euro pallet, wrapped in stretch film and a thermal blanket, as well as the qualified cool boxes; (c) the lanes from the Kojlija 1043, Petrovec site to all domestic consignees under WHSOP_003; and (d) the loggers: the USB temperature and humidity loggers (mapping) and the single-use loggers (in the pallets).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Не ги опфаќа: валидацијата на увозни и извозни (авио) рути според WHSOP_002 — која се изведува со истата методологија во посебен протокол; транспортот на мостри за контрола на квалитет до надворешни лаборатории, кој е предмет на PP-QC-SOP-025; квалификацијата на складишта и простории (QAS-03-003); и целосната валидација на компјутерскиот систем на софтверот на USB логерите (QAS-03-002) — оваа СОП ја бара само верификацијата во 6.4.4.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It does not cover: validation of import and export (air) lanes per WHSOP_002 — performed with the same methodology in a separate protocol; the transport of quality-control samples to external laboratories, which is the subject of PP-QC-SOP-025; qualification of warehouses and premises (QAS-03-003); and full computerised-system validation of the USB logger software (QAS-03-002) — this SOP requires only the verification in 6.4.4.</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Нови возила, нови конфигурации на пакување, електронско следење и рути преку граница се додаваат преку контрола на промени и ревизија на Планот за валидација (QASOP_0XX_A01).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New vehicles, new packaging configurations, electronic tracking and cross-border lanes are added through change control and revision of the Validation Plan (QASOP_0XX_A01).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3.0 ОДГОВОРНОСТИ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3.0 RESPONSIBILITIES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го одобрува Планот за валидација, протоколите и извештаите; го води регистарот на рути (A06); ги одобрува отстапувањата и CAPA; доделува статус QUALIFIED; ги презема и чува податоците од логерите.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the Validation Plan, protocols and reports; maintains the lane register (A06); approves deviations and CAPA; assigns QUALIFIED status; downloads and retains the logger data.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Тим за валидација (QA, Логистика, Обезбедување, Техничко одржување, КК): ја изготвува процената на ризик, ги изведува OQ и PQ според одобрен протокол, ги евидентира необработените податоци и го изготвува извештајот.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team (QA, Logistics, Security, Technical Maintenance, QC): prepares the risk assessment, executes OQ and PQ per the approved protocol, records the raw data and prepares the report.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Техничко одржување: ги одржува и калибрира USB логерите (сертификат следлив до национални/меѓународни еталони, неодреденост ≤ ±0,5 °C и ≤ ±3 % RH), ги конфигурира и ја спроведува верификацијата на софтверот.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Technical Maintenance: maintains and calibrates the USB loggers (certificate traceable to national/international standards, uncertainty ≤ ±0.5 °C and ≤ ±3 % RH), configures them and performs the software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Договорен превозник: според Договорот за квалитет, го става на располагање возилото и возачот за OQ и PQ, ја доставува техничката документација за возилото и (ако постои) за уредот за контрола на температура со неговата калибрација, и известува однапред за секоја промена на возилото или опремата.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carrier: per the Quality Agreement, makes the vehicle and driver available for OQ and PQ, provides the technical documentation of the vehicle and (if fitted) of the temperature-control unit with its calibration, and gives advance notice of any change of vehicle or equipment.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Логистика: ги обезбедува возилото, палетите, картоните, стреч-фолијата и термо-ќебињата во конфигурацијата што се квалификува и симулираниот товар за тестовите.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Logistics: provides the vehicle, pallets, cartons, stretch film and thermal blankets in the configuration being qualified, and the simulated load for the tests.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одобрува извештајот за валидација на секоја рута пред првата рутинска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approves the validation report of each lane before its first routine use.</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Регулаторна рамка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Regulatory framework</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Annex 15 (Qualification and Validation, 2015): §1 (организација и планирање), §2 (документација), §3 (фази на квалификација), §4 (реквалификација), §6 (верификација на транспортот), §7 (валидација на пакувањето).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Annex 15 (Qualification and Validation, 2015): §1 (organising and planning), §2 (documentation), §3 (qualification stages), §4 (re-qualification), §6 (verification of transportation), §7 (validation of packaging).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Annex 11 (Computerised Systems, 2011) — софтвер за преземање на податоците од USB логерите; Part I Chapter 4 (документација) и Chapter 7 (аутсорсирани активности — превозник).</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Annex 11 (Computerised Systems, 2011) — software for downloading the USB logger data; Part I Chapter 4 (documentation) and Chapter 7 (outsourced activities — carrier).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on Good Distribution Practice (2013/C 343/01), Chapter 9.2 (транспорт — одржување на условите), 9.3 (контејнери, пакување и означување) и 9.4 (производи со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Good Distribution Practice (2013/C 343/01), Chapter 9.2 (transportation — maintaining conditions), 9.3 (containers, packaging and labelling) and 9.4 (products requiring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961 (2011), Annex 9, и техничките додатоци (WHO TRS No. 992, 2015, Annex 5): Supplement 7 (квалификација на температурно контролирани друмски возила), Supplement 8 (температурно мапирање), Supplement 12 (системи за следење на температура и влага при транспорт), Supplement 13 (квалификација на контејнери за испорака), Supplement 14 (квалификација на профилот на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961 (2011), Annex 9, and its technical supplements (WHO TRS No. 992, 2015, Annex 5): Supplement 7 (Qualification of temperature-controlled road vehicles), Supplement 8 (Temperature mapping of storage areas), Supplement 12 (Temperature and humidity monitoring systems for transport operations), Supplement 13 (Qualification of shipping containers), Supplement 14 (Transport route profiling qualification).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ICH Q9(R1) Quality Risk Management (2023); ICH Q10 Pharmaceutical Quality System (2008); USP ⟨1079.2⟩ Mean Kinetic Temperature; Ph. Eur. Монографија 3028 (Cannabis flos).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ICH Q9(R1) Quality Risk Management (2023); ICH Q10 Pharmaceutical Quality System (2008); USP ⟨1079.2⟩ Mean Kinetic Temperature; Ph. Eur. Monograph 3028 (Cannabis flos).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Внатрешни документи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Internal documents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Validation Master Plan (QAS-02.00); QAS-03-001 Квалификација на опрема; QAS-03-002 Валидација на компјутерски системи; QAS-04-001 Управување со ризик; QAS-08-001 Контрола на промени; WHSOP_003.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Master Plan (QAS-02.00); QAS-03-001 Equipment Qualification; QAS-03-002 Computerised System Validation; QAS-04-001 Risk Management; QAS-08-001 Change Control; WHSOP_003.</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 конфигурација на палети и сезона, која се квалификува како целина; код Lnn (на пр. L01).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 pallet configuration and season, qualified as a whole; code Lnn (e.g. L01).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Оперативна квалификација (OQ) — документиран доказ дека возилото, со палетите во квалификуваната конфигурација, ги одржува условите во целиот товарен простор и во палетите, во празна и полна состојба, при екстремни сезонски услови и при предизвикани нарушувања (отворање врата и, кај активна контрола, прекин на напојување).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Operational qualification (OQ) — documented evidence that the vehicle, with the pallets in the qualified configuration, maintains the conditions throughout the load space and within the pallets, empty and loaded, under seasonal extremes and under induced disturbances (door opening and, with active control, power interruption).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Квалификација на перформанси (PQ) — документиран доказ, преку три последователни реални или симулирани пратки по рутата, дека условите се одржуваат во рутинска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Performance qualification (PQ) — documented evidence, through three consecutive real or simulated shipments on the lane, that conditions are maintained in routine use.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Температурно мапирање — истовремено мерење на температура и влага на дефинирани точки во товарниот простор и во палетите за да се утврдат жешките и студените точки.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mapping — simultaneous measurement of temperature and humidity at defined points in the load space and within the pallets to identify the hot and cold spots.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Време на задржување (hold time) — кај активна контрола: времето од губење на контролата до првото излегување на која било точка надвор од опсегот; кај пасивна заштита: најдолгото време во кое сите логери во палетите остануваат во опсегот при сезонскиот екстрем на амбиентот.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Hold time — with active control: the time from loss of control to the first point leaving the range; with passive protection: the longest time during which all loggers within the pallets remain within range at the seasonal ambient extreme.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USB логер — калибриран логер за температура и влага за повеќекратна употреба (Пјурли Плант располага со 10), се користи за мапирање и како рутински логер во товарниот простор.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USB logger — a calibrated reusable temperature and humidity logger (Purely Plant holds 10), used for mapping and as the routine load-space logger.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Логер за еднократна употреба — калибриран температурен логер со фабрички сертификат за серијата, се поставува во палетите при OQ, PQ и рутински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Single-use logger — a calibrated temperature logger with a factory lot certificate, placed in the pallets during OQ, PQ and routine transport.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Средна кинетичка температура (MKT) — единечна изотермна температура која предизвикува иста хемиска деградација како измерениот променлив профил (ΔH/R = 10 000 K).</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Mean kinetic temperature (MKT) — the single isothermal temperature that causes the same chemical degradation as the measured variable profile (ΔH/R = 10 000 K).</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OQ; PQ; RA; VP — план за валидација; G/M — голема/мала палета (L/S); MKT; RH; GDP; GMP; QA; QP; CAPA; SOP.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OQ; PQ; RA; VP — validation plan; L/S — large/small pallet (G/M); MKT; RH; GDP; GMP; QA; QP; CAPA; SOP.</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Животен циклус на валидацијата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Validation lifecycle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Валидацијата на секоја рута се изведува по редослед, без прескокнување фаза: (1) процена на ризик и План за валидација (A01) → (2) одобрен Протокол (A02) со однапред дефинирани критериуми → (3) OQ мапирање на возилото со палети (A03) → (4) PQ — три пратки (A04) → (5) Извештај (A05) и одобрение од QA и QP → (6) внес во регистарот со статус QUALIFIED (A06) → (7) рутинско следење и периодична реквалификација. Следната фаза започнува само по писмено одобрение на претходната од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of each lane follows this order, without skipping a stage: (1) risk assessment and Validation Plan (A01) → (2) approved Protocol (A02) with pre-defined criteria → (3) OQ mapping of the vehicle with pallets (A03) → (4) PQ — three shipments (A04) → (5) Report (A05) and QA and QP approval → (6) entry in the register with QUALIFIED status (A06) → (7) routine monitoring and periodic requalification. The next stage starts only after written QA approval of the previous one.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Процена на ризик и план</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Risk assessment and plan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За секоја рута тимот ги евидентира во A01: растојание и максимално времетраење (вклучително сообраќајни застои и чекање на придружувањето), сезонски екстреми на амбиентот (историски податоци за Скопје), вид на материјал и неговиот опсег, возило (активна или пасивна заштита), конфигурација и максимален број на палети, точки на ракување и безбедносни ризици. Ризиците се оценуваат со FMEA (веројатност × последица × откривање) според QAS-04-001.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For each lane the team records in A01: distance and maximum duration (including traffic delays and waiting for the escort), seasonal ambient extremes (historical data for Skopje), material type and its range, vehicle (active or passive protection), configuration and maximum number of pallets, handling points and security risks. Risks are rated by FMEA (likelihood × severity × detectability) per QAS-04-001.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Групирање (bracketing): рутите со исто возило, иста конфигурација на палети и времетраење до најдолгата квалификувана рута може да се покријат со квалификацијата на најдолгата („најлош случај“), ако A01 го образложи и QA го одобри. Малата палета (4 картони) има помала термичка маса и е најлош случај за конфигурацијата; ако се квалификува мала палета, големата е покриена, но не и обратно.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Bracketing: lanes with the same vehicle, the same pallet configuration and a duration up to that of the longest qualified lane may be covered by the qualification of the longest ("worst case") lane, where A01 justifies it and QA approves. The small pallet (4 cartons) has less thermal mass and is the worst case for the configuration; qualifying the small pallet covers the large one, but not the reverse.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Протокол</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Протоколот (A02) ги дефинира однапред: предметот, опсезите, бројот и позициите на логерите, интервалот на мерење, тестовите, критериумите за прифаќање, постапката при отстапување и потребните потписи. Протоколот се одобрува од QA пред почетокот на OQ; необработените податоци се внесуваат директно во обрасците за извршување (A03, A04).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protocol (A02) pre-defines: the object, ranges, number and positions of loggers, logging interval, tests, acceptance criteria, deviation handling and required signatures. The protocol is approved by QA before OQ starts; raw data are entered directly into the execution forms (A03, A04).</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OQ — температурно мапирање на возилото со палети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OQ — temperature mapping of the vehicle with pallets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USB логери (10): P1–P8 во аглите на товарниот простор (горе/долу, напред кон кабината / назад кон вратите, лево/десно), на околу 10 cm од ѕидовите; „долу“ на околу 10 cm над подот, „горе“ на висината на врвот на натоварените палети; P9 во геометрискиот центар; P10 надвор (амбиент), во сенка и заштитен од директно сонце и издувни гасови. Позициите P3, P4, P7 и P8 (кон вратите) го покриваат тестот со отворање на врата. Интервал 1 мин.</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USB loggers (10): P1–P8 at the corners of the load space (top/bottom, front towards the cab / rear towards the doors, left/right), about 10 cm from the walls; "bottom" about 10 cm above the floor, "top" at the height of the top of the loaded pallets; P9 at the geometric centre; P10 outside (ambient), shaded and protected from direct sun and exhaust. Positions P3, P4, P7 and P8 (towards the doors) cover the door-opening test. Interval 1 min.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Логери за еднократна употреба во тестовите со товар: по 2 во секоја палета — (Е1) горен слој, аголот свртен кон вратите, меѓу два картона под термо-ќебето; (Е2) долен слој, во центарот на палетата меѓу картоните (кај мала палета со еден слој: аголот свртен кон кабината). Двете позиции се кандидати за рутинската позиција во WHSOP_003 §6.4.5; OQ ја потврдува или ја менува.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Single-use loggers in the loaded tests: 2 in every pallet — (E1) top layer, the corner facing the doors, between two cartons under the thermal blanket; (E2) bottom layer, at the centre of the pallet between the cartons (for a single-layer small pallet: the corner facing the cab). Both positions are candidates for the routine position in WHSOP_003 §6.4.5; OQ confirms or changes it.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Тестови: (а) празно возило — профил на товарниот простор наспроти амбиентот (кај активна контрола: стабилизација и време до опсег); (б) полно возило со претставителен товар во максималната конфигурација (картони со симулирани кеси со иста маса, завиткани како во рутина) — времетраење ≥ 125 % од најдолгото очекувано патување; (в) отворање на врата: 2 × 5 мин (симулација на предавање и прием); (г) само кај активна контрола: прекин на напојување — мерење на времето на задржување; (д) сезонско мапирање со товар: летно (амбиент ≥ 30 °C) и зимско (амбиент ≤ 0 °C). Кај пасивна заштита, тестовите (б) и (д) го даваат времето на задржување.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Tests: (a) empty vehicle — load-space profile against ambient (with active control: stabilisation and time to range); (b) loaded vehicle with a representative load in the maximum configuration (cartons with simulated bags of the same mass, wrapped as in routine) — duration ≥ 125 % of the longest expected journey; (c) door opening: 2 × 5 min (simulating hand-over and receipt); (d) only with active control: power interruption — measurement of hold time; (e) seasonal mapping with load: summer (ambient ≥ 30 °C) and winter (ambient ≤ 0 °C). With passive protection, tests (b) and (e) give the hold time.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Пред OQ: калибрацијата на USB логерите е важечка и се проверува во една точка (споредба со референтен термометар, Δ ≤ 0,5 °C) пред и по мапирањето; часовниците се синхронизирани; софтверот за преземање е верификуван (точна конфигурација, неизменливи изворни датотеки, временски печат, контрола на пристап) и изворните датотеки се чуваат со сериски број и SHA-256. За логерите за еднократна употреба се чува сертификатот на серијата и се проверува рокот на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Before OQ: the USB logger calibration is valid and is checked at one point (comparison with a reference thermometer, Δ ≤ 0.5 °C) before and after mapping; clocks are synchronised; the download software is verified (correct configuration, unalterable original files, time stamp, access control) and the original files are retained with serial number and SHA-256. For single-use loggers the lot certificate is retained and the expiry date is checked.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6.4.5 Критериуми за прифаќање: сите логери во палетите (Е1, Е2) во опсегот во текот на целиот тест; логерите во товарниот простор во опсегот по стабилизацијата, или — кај пасивна заштита — разликата меѓу воздухот и палетите документирана; враќање во опсег во рок ≤ 15 мин по секое отворање на врата; време на задржување ≥ максималното предвидено време од A01 (најмалку 60 мин); MKT во опсегот; жешката и студената точка во товарниот простор и во палетата се идентификувани и документирани за рутинските позиции.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6.4.5 Acceptance criteria: all loggers within the pallets (E1, E2) within range throughout the test; load-space loggers within range after stabilisation, or — with passive protection — the difference between air and pallets documented; return to range within ≤ 15 min after each door opening; hold time ≥ the maximum foreseen time from A01 (at least 60 min); MKT within range; hot and cold spots in the load space and in the pallet identified and documented for the routine positions.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PQ — три последователни пратки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PQ — three consecutive shipments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PQ се изведува по завршена и одобрена OQ, со три последователни пратки по рутата, со реален производ или симулиран товар со иста маса и конфигурација на палети. Логери: по 2 за еднократна употреба во секоја палета (Е1, Е2 од 6.4.2) и 3 USB логери во товарниот простор — на жешката точка, на студената точка од OQ и надвор (амбиент). Барем една пратка мора да падне во сезоната на најлош случај за опсегот (лето за 15–25 °C).</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PQ is performed after OQ is completed and approved, with three consecutive shipments on the lane, with real product or a simulated load of the same mass and pallet configuration. Loggers: 2 single-use in every pallet (E1, E2 from 6.4.2) and 3 USB loggers in the load space — at the OQ hot spot, at the OQ cold spot and outside (ambient). At least one shipment must fall in the worst-case season for the range (summer for 15–25 °C).</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Секоја PQ пратка се изведува целосно според WHSOP_003 (барање до МВР и полициско придружување, етикети и листи на пакување, ланец на надзор) и се евидентира во A04. Критериуми: сите логери во палетите во опсег во текот на целото патување; пломбите и завиткувањето цели; времетраењето ≤ квалификуваното; ланецот на надзор комплетен; палетите без оштетување.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Each PQ shipment is performed in full per WHSOP_003 (MoIA request and police escort, labels and packing lists, chain of custody) and recorded in A04. Criteria: all pallet loggers within range throughout the journey; seals and wrapping intact; duration ≤ the qualified duration; chain of custody complete; pallets undamaged.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Пресметки и проценка на податоците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Calculations and data evaluation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Од податоците на секој логер се пресметуваат: мин., макс., средна вредност, стандардна девијација, кумулативно време надвор од опсег и MKT. MKT се пресметува со формулата во A02/A05 (ΔH/R = 10 000 K; температурите во келвини). Пресметките се прикажуваат во извештајот како решени чекори (формула → вредности → резултат) и се проверуваат од второ лице.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From each logger's data the following are calculated: min., max., mean, standard deviation, cumulative time out of range and MKT. The MKT is calculated with the formula in A02/A05 (ΔH/R = 10 000 K; temperatures in kelvin). Calculations are shown in the report as worked steps (formula → values → result) and verified by a second person.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Извештај и статус</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Report and status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Извештајот (A05) ги сумира сите резултати наспроти критериумите, сите отстапувања и нивното решавање и препорака за статус. По одобрение од QA и QP, рутата се внесува во A06 како QUALIFIED со датум на важност; ограничувањата (сезона, максимално времетраење, максимален број и тип на палети, рутински позиции на логерите) се наведуваат и се пренесуваат во TRA на WHSOP_003.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report (A05) summarises all results against the criteria, all deviations and their resolution, and a status recommendation. After QA and QP approval, the lane is entered in A06 as QUALIFIED with a validity date; limitations (season, maximum duration, maximum number and type of pallets, routine logger positions) are stated and carried into the WHSOP_003 TRA.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Отстапувања при валидацијата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Deviations during validation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Резултат надвор од критериумите се проверува (дефект на логер, грешка во поставувањето); ако се потврди, се отвора отстапување (QAS-05-002), се утврдува коренската причина и, по корекцијата, засегнатиот тест се повторува во целост. Резултат не се отфрла без документирано образложение одобрено од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result outside the criteria is checked (logger failure, placement error); if confirmed, a deviation is opened (QAS-05-002), the root cause is established and, after correction, the affected test is repeated in full. No result is discarded without a documented justification approved by QA.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Рутинско следење и реквалификација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Routine monitoring and requalification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6.9.1 Секоја рутинска пратка се следи според WHSOP_003 §6.4.5: еден логер за еднократна употреба во секоја палета на позицијата потврдена со OQ/PQ и еден USB логер во товарниот простор на жешката точка. QA квартално ги трендира податоците по рута (мин., макс., MKT, аларми) во 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6.9.1 Every routine shipment is monitored per WHSOP_003 §6.4.5: one single-use logger in every pallet at the position confirmed by OQ/PQ and one USB logger in the load space at the hot spot. QA trends the data per lane quarterly (min., max., MKT, alarms) in 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6.9.2 Реквалификација: годишно (сезонско PQ — една летна и една зимска пратка) и вонредно при: промена на превозникот, возилото или уредот за контрола на температура; промена на конфигурацијата на палети, картоните, стреч-фолијата или термо-ќебињата; промена на рутата или максималното времетраење; потврдена екскурзија со непозната причина; негативен тренд. Обемот (целосна OQ+PQ или само PQ) го одредува QA со процена на ризик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6.9.2 Requalification: annually (seasonal PQ — one summer and one winter shipment) and additionally upon: change of carrier, vehicle or temperature-control unit; change of pallet configuration, cartons, stretch film or thermal blankets; change of route or maximum duration; a confirmed excursion of unknown cause; an adverse trend. The scope (full OQ+PQ or PQ only) is set by QA through risk assessment under change control.</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Членовите на тимот за валидација се обучуваат за оваа СОП, за ракување со USB логерите и логерите за еднократна употреба, за софтверот за преземање и за WHSOP_003 пред учеството; обуката се евидентира (HR-01-006).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team members are trained on this SOP, on handling the USB and single-use loggers, on the download software and on WHSOP_003 before taking part; training is recorded (HR-01-006).</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110"/>
        <w:gridCol w:w="7356"/>
      </w:tblGrid>
      <w:tr>
        <w:trPr>
          <w:cantSplit/>
          <w:tblHeader w:val="true"/>
        </w:trPr>
        <w:tc>
          <w:tcPr>
            <w:shd w:val="clear" w:color="auto" w:fill="D9E2F3"/>
            <w:tcW w:type="dxa" w:w="3110"/>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7356"/>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3110"/>
          </w:tcPr>
          <w:p>
            <w:pPr>
              <w:keepNext/>
            </w:pPr>
            <w:r/>
            <w:r>
              <w:rPr>
                <w:rFonts w:ascii="Calibri" w:hAnsi="Calibri"/>
                <w:b w:val="0"/>
                <w:i w:val="0"/>
                <w:color w:val="000000"/>
                <w:sz w:val="22"/>
              </w:rPr>
              <w:t>QASOP_0XX_A01</w:t>
            </w:r>
            <w:r>
              <w:rPr>
                <w:rFonts w:ascii="Calibri" w:hAnsi="Calibri"/>
                <w:b w:val="0"/>
                <w:i w:val="0"/>
                <w:color w:val="000000"/>
                <w:sz w:val="14"/>
              </w:rPr>
            </w:r>
          </w:p>
        </w:tc>
        <w:tc>
          <w:tcPr>
            <w:tcW w:type="dxa" w:w="7356"/>
          </w:tcPr>
          <w:p>
            <w:pPr>
              <w:keepNext/>
            </w:pPr>
            <w:r/>
            <w:r>
              <w:rPr>
                <w:rFonts w:ascii="Calibri" w:hAnsi="Calibri"/>
                <w:b w:val="0"/>
                <w:i w:val="0"/>
                <w:color w:val="000000"/>
                <w:sz w:val="22"/>
              </w:rPr>
              <w:t>План за валидација и процена на ризик на рутата</w:t>
            </w:r>
            <w:r>
              <w:rPr>
                <w:rFonts w:ascii="Calibri" w:hAnsi="Calibri"/>
                <w:b w:val="0"/>
                <w:i w:val="0"/>
                <w:color w:val="000000"/>
                <w:sz w:val="14"/>
              </w:rPr>
              <w:t xml:space="preserve"> | </w:t>
            </w:r>
            <w:r>
              <w:rPr>
                <w:rFonts w:ascii="Calibri" w:hAnsi="Calibri"/>
                <w:b w:val="0"/>
                <w:i w:val="0"/>
                <w:color w:val="000000"/>
                <w:sz w:val="14"/>
              </w:rPr>
              <w:t>Lane Validation Plan and Risk Assessment</w:t>
            </w:r>
          </w:p>
        </w:tc>
      </w:tr>
      <w:tr>
        <w:trPr>
          <w:cantSplit/>
        </w:trPr>
        <w:tc>
          <w:tcPr>
            <w:tcW w:type="dxa" w:w="3110"/>
          </w:tcPr>
          <w:p>
            <w:pPr>
              <w:keepNext/>
            </w:pPr>
            <w:r/>
            <w:r>
              <w:rPr>
                <w:rFonts w:ascii="Calibri" w:hAnsi="Calibri"/>
                <w:b w:val="0"/>
                <w:i w:val="0"/>
                <w:color w:val="000000"/>
                <w:sz w:val="22"/>
              </w:rPr>
              <w:t>QASOP_0XX_A02</w:t>
            </w:r>
            <w:r>
              <w:rPr>
                <w:rFonts w:ascii="Calibri" w:hAnsi="Calibri"/>
                <w:b w:val="0"/>
                <w:i w:val="0"/>
                <w:color w:val="000000"/>
                <w:sz w:val="14"/>
              </w:rPr>
            </w:r>
          </w:p>
        </w:tc>
        <w:tc>
          <w:tcPr>
            <w:tcW w:type="dxa" w:w="7356"/>
          </w:tcPr>
          <w:p>
            <w:pPr>
              <w:keepNext/>
            </w:pPr>
            <w:r/>
            <w:r>
              <w:rPr>
                <w:rFonts w:ascii="Calibri" w:hAnsi="Calibri"/>
                <w:b w:val="0"/>
                <w:i w:val="0"/>
                <w:color w:val="000000"/>
                <w:sz w:val="22"/>
              </w:rPr>
              <w:t>Протокол за валидација на транспорт (OQ/PQ)</w:t>
            </w:r>
            <w:r>
              <w:rPr>
                <w:rFonts w:ascii="Calibri" w:hAnsi="Calibri"/>
                <w:b w:val="0"/>
                <w:i w:val="0"/>
                <w:color w:val="000000"/>
                <w:sz w:val="14"/>
              </w:rPr>
              <w:t xml:space="preserve"> | </w:t>
            </w:r>
            <w:r>
              <w:rPr>
                <w:rFonts w:ascii="Calibri" w:hAnsi="Calibri"/>
                <w:b w:val="0"/>
                <w:i w:val="0"/>
                <w:color w:val="000000"/>
                <w:sz w:val="14"/>
              </w:rPr>
              <w:t>Transport Validation Protocol (OQ/PQ)</w:t>
            </w:r>
          </w:p>
        </w:tc>
      </w:tr>
      <w:tr>
        <w:trPr>
          <w:cantSplit/>
        </w:trPr>
        <w:tc>
          <w:tcPr>
            <w:tcW w:type="dxa" w:w="3110"/>
          </w:tcPr>
          <w:p>
            <w:pPr>
              <w:keepNext/>
            </w:pPr>
            <w:r/>
            <w:r>
              <w:rPr>
                <w:rFonts w:ascii="Calibri" w:hAnsi="Calibri"/>
                <w:b w:val="0"/>
                <w:i w:val="0"/>
                <w:color w:val="000000"/>
                <w:sz w:val="22"/>
              </w:rPr>
              <w:t>QASOP_0XX_A03</w:t>
            </w:r>
            <w:r>
              <w:rPr>
                <w:rFonts w:ascii="Calibri" w:hAnsi="Calibri"/>
                <w:b w:val="0"/>
                <w:i w:val="0"/>
                <w:color w:val="000000"/>
                <w:sz w:val="14"/>
              </w:rPr>
            </w:r>
          </w:p>
        </w:tc>
        <w:tc>
          <w:tcPr>
            <w:tcW w:type="dxa" w:w="7356"/>
          </w:tcPr>
          <w:p>
            <w:pPr>
              <w:keepNext/>
            </w:pPr>
            <w:r/>
            <w:r>
              <w:rPr>
                <w:rFonts w:ascii="Calibri" w:hAnsi="Calibri"/>
                <w:b w:val="0"/>
                <w:i w:val="0"/>
                <w:color w:val="000000"/>
                <w:sz w:val="22"/>
              </w:rPr>
              <w:t>Запис за извршување на OQ — температурно мапирање</w:t>
            </w:r>
            <w:r>
              <w:rPr>
                <w:rFonts w:ascii="Calibri" w:hAnsi="Calibri"/>
                <w:b w:val="0"/>
                <w:i w:val="0"/>
                <w:color w:val="000000"/>
                <w:sz w:val="14"/>
              </w:rPr>
              <w:t xml:space="preserve"> | </w:t>
            </w:r>
            <w:r>
              <w:rPr>
                <w:rFonts w:ascii="Calibri" w:hAnsi="Calibri"/>
                <w:b w:val="0"/>
                <w:i w:val="0"/>
                <w:color w:val="000000"/>
                <w:sz w:val="14"/>
              </w:rPr>
              <w:t>OQ Execution Record — Temperature Mapping</w:t>
            </w:r>
          </w:p>
        </w:tc>
      </w:tr>
      <w:tr>
        <w:trPr>
          <w:cantSplit/>
        </w:trPr>
        <w:tc>
          <w:tcPr>
            <w:tcW w:type="dxa" w:w="3110"/>
          </w:tcPr>
          <w:p>
            <w:pPr>
              <w:keepNext/>
            </w:pPr>
            <w:r/>
            <w:r>
              <w:rPr>
                <w:rFonts w:ascii="Calibri" w:hAnsi="Calibri"/>
                <w:b w:val="0"/>
                <w:i w:val="0"/>
                <w:color w:val="000000"/>
                <w:sz w:val="22"/>
              </w:rPr>
              <w:t>QASOP_0XX_A04</w:t>
            </w:r>
            <w:r>
              <w:rPr>
                <w:rFonts w:ascii="Calibri" w:hAnsi="Calibri"/>
                <w:b w:val="0"/>
                <w:i w:val="0"/>
                <w:color w:val="000000"/>
                <w:sz w:val="14"/>
              </w:rPr>
            </w:r>
          </w:p>
        </w:tc>
        <w:tc>
          <w:tcPr>
            <w:tcW w:type="dxa" w:w="7356"/>
          </w:tcPr>
          <w:p>
            <w:pPr>
              <w:keepNext/>
            </w:pPr>
            <w:r/>
            <w:r>
              <w:rPr>
                <w:rFonts w:ascii="Calibri" w:hAnsi="Calibri"/>
                <w:b w:val="0"/>
                <w:i w:val="0"/>
                <w:color w:val="000000"/>
                <w:sz w:val="22"/>
              </w:rPr>
              <w:t>Запис за извршување на PQ пратка</w:t>
            </w:r>
            <w:r>
              <w:rPr>
                <w:rFonts w:ascii="Calibri" w:hAnsi="Calibri"/>
                <w:b w:val="0"/>
                <w:i w:val="0"/>
                <w:color w:val="000000"/>
                <w:sz w:val="14"/>
              </w:rPr>
              <w:t xml:space="preserve"> | </w:t>
            </w:r>
            <w:r>
              <w:rPr>
                <w:rFonts w:ascii="Calibri" w:hAnsi="Calibri"/>
                <w:b w:val="0"/>
                <w:i w:val="0"/>
                <w:color w:val="000000"/>
                <w:sz w:val="14"/>
              </w:rPr>
              <w:t>PQ Shipment Execution Record</w:t>
            </w:r>
          </w:p>
        </w:tc>
      </w:tr>
      <w:tr>
        <w:trPr>
          <w:cantSplit/>
        </w:trPr>
        <w:tc>
          <w:tcPr>
            <w:tcW w:type="dxa" w:w="3110"/>
          </w:tcPr>
          <w:p>
            <w:pPr>
              <w:keepNext/>
            </w:pPr>
            <w:r/>
            <w:r>
              <w:rPr>
                <w:rFonts w:ascii="Calibri" w:hAnsi="Calibri"/>
                <w:b w:val="0"/>
                <w:i w:val="0"/>
                <w:color w:val="000000"/>
                <w:sz w:val="22"/>
              </w:rPr>
              <w:t>QASOP_0XX_A05</w:t>
            </w:r>
            <w:r>
              <w:rPr>
                <w:rFonts w:ascii="Calibri" w:hAnsi="Calibri"/>
                <w:b w:val="0"/>
                <w:i w:val="0"/>
                <w:color w:val="000000"/>
                <w:sz w:val="14"/>
              </w:rPr>
            </w:r>
          </w:p>
        </w:tc>
        <w:tc>
          <w:tcPr>
            <w:tcW w:type="dxa" w:w="7356"/>
          </w:tcPr>
          <w:p>
            <w:pPr>
              <w:keepNext/>
            </w:pPr>
            <w:r/>
            <w:r>
              <w:rPr>
                <w:rFonts w:ascii="Calibri" w:hAnsi="Calibri"/>
                <w:b w:val="0"/>
                <w:i w:val="0"/>
                <w:color w:val="000000"/>
                <w:sz w:val="22"/>
              </w:rPr>
              <w:t>Извештај за валидација на транспорт</w:t>
            </w:r>
            <w:r>
              <w:rPr>
                <w:rFonts w:ascii="Calibri" w:hAnsi="Calibri"/>
                <w:b w:val="0"/>
                <w:i w:val="0"/>
                <w:color w:val="000000"/>
                <w:sz w:val="14"/>
              </w:rPr>
              <w:t xml:space="preserve"> | </w:t>
            </w:r>
            <w:r>
              <w:rPr>
                <w:rFonts w:ascii="Calibri" w:hAnsi="Calibri"/>
                <w:b w:val="0"/>
                <w:i w:val="0"/>
                <w:color w:val="000000"/>
                <w:sz w:val="14"/>
              </w:rPr>
              <w:t>Transport Validation Report</w:t>
            </w:r>
          </w:p>
        </w:tc>
      </w:tr>
      <w:tr>
        <w:trPr>
          <w:cantSplit/>
        </w:trPr>
        <w:tc>
          <w:tcPr>
            <w:tcW w:type="dxa" w:w="3110"/>
          </w:tcPr>
          <w:p>
            <w:r/>
            <w:r>
              <w:rPr>
                <w:rFonts w:ascii="Calibri" w:hAnsi="Calibri"/>
                <w:b w:val="0"/>
                <w:i w:val="0"/>
                <w:color w:val="000000"/>
                <w:sz w:val="22"/>
              </w:rPr>
              <w:t>QASOP_0XX_A06</w:t>
            </w:r>
            <w:r>
              <w:rPr>
                <w:rFonts w:ascii="Calibri" w:hAnsi="Calibri"/>
                <w:b w:val="0"/>
                <w:i w:val="0"/>
                <w:color w:val="000000"/>
                <w:sz w:val="14"/>
              </w:rPr>
            </w:r>
          </w:p>
        </w:tc>
        <w:tc>
          <w:tcPr>
            <w:tcW w:type="dxa" w:w="7356"/>
          </w:tcPr>
          <w:p>
            <w:r/>
            <w:r>
              <w:rPr>
                <w:rFonts w:ascii="Calibri" w:hAnsi="Calibri"/>
                <w:b w:val="0"/>
                <w:i w:val="0"/>
                <w:color w:val="000000"/>
                <w:sz w:val="22"/>
              </w:rPr>
              <w:t>Регистар на квалификувани рути и тренд</w:t>
            </w:r>
            <w:r>
              <w:rPr>
                <w:rFonts w:ascii="Calibri" w:hAnsi="Calibri"/>
                <w:b w:val="0"/>
                <w:i w:val="0"/>
                <w:color w:val="000000"/>
                <w:sz w:val="14"/>
              </w:rPr>
              <w:t xml:space="preserve"> | </w:t>
            </w:r>
            <w:r>
              <w:rPr>
                <w:rFonts w:ascii="Calibri" w:hAnsi="Calibri"/>
                <w:b w:val="0"/>
                <w:i w:val="0"/>
                <w:color w:val="000000"/>
                <w:sz w:val="14"/>
              </w:rPr>
              <w:t>Qualified Lane Register and Trend</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658"/>
        <w:gridCol w:w="7808"/>
      </w:tblGrid>
      <w:tr>
        <w:trPr>
          <w:cantSplit/>
          <w:tblHeader w:val="true"/>
        </w:trPr>
        <w:tc>
          <w:tcPr>
            <w:shd w:val="clear" w:color="auto" w:fill="D9E2F3"/>
            <w:tcW w:type="dxa" w:w="2658"/>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7808"/>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2658"/>
          </w:tcPr>
          <w:p>
            <w:pPr>
              <w:keepNext/>
            </w:pPr>
            <w:r/>
            <w:r>
              <w:rPr>
                <w:rFonts w:ascii="Calibri" w:hAnsi="Calibri"/>
                <w:b w:val="0"/>
                <w:i w:val="0"/>
                <w:color w:val="000000"/>
                <w:sz w:val="22"/>
              </w:rPr>
              <w:t>WHSOP_003</w:t>
            </w:r>
            <w:r>
              <w:rPr>
                <w:rFonts w:ascii="Calibri" w:hAnsi="Calibri"/>
                <w:b w:val="0"/>
                <w:i w:val="0"/>
                <w:color w:val="000000"/>
                <w:sz w:val="14"/>
              </w:rPr>
            </w:r>
          </w:p>
        </w:tc>
        <w:tc>
          <w:tcPr>
            <w:tcW w:type="dxa" w:w="7808"/>
          </w:tcPr>
          <w:p>
            <w:pPr>
              <w:keepNext/>
            </w:pPr>
            <w:r/>
            <w:r>
              <w:rPr>
                <w:rFonts w:ascii="Calibri" w:hAnsi="Calibri"/>
                <w:b w:val="0"/>
                <w:i w:val="0"/>
                <w:color w:val="000000"/>
                <w:sz w:val="22"/>
              </w:rPr>
              <w:t>Внатрешен транспорт на опојни дроги</w:t>
            </w:r>
            <w:r>
              <w:rPr>
                <w:rFonts w:ascii="Calibri" w:hAnsi="Calibri"/>
                <w:b w:val="0"/>
                <w:i w:val="0"/>
                <w:color w:val="000000"/>
                <w:sz w:val="14"/>
              </w:rPr>
              <w:t xml:space="preserve"> | </w:t>
            </w:r>
            <w:r>
              <w:rPr>
                <w:rFonts w:ascii="Calibri" w:hAnsi="Calibri"/>
                <w:b w:val="0"/>
                <w:i w:val="0"/>
                <w:color w:val="000000"/>
                <w:sz w:val="14"/>
              </w:rPr>
              <w:t>Inland Transport of Narcotic Drugs</w:t>
            </w:r>
          </w:p>
        </w:tc>
      </w:tr>
      <w:tr>
        <w:trPr>
          <w:cantSplit/>
        </w:trPr>
        <w:tc>
          <w:tcPr>
            <w:tcW w:type="dxa" w:w="2658"/>
          </w:tcPr>
          <w:p>
            <w:pPr>
              <w:keepNext/>
            </w:pPr>
            <w:r/>
            <w:r>
              <w:rPr>
                <w:rFonts w:ascii="Calibri" w:hAnsi="Calibri"/>
                <w:b w:val="0"/>
                <w:i w:val="0"/>
                <w:color w:val="000000"/>
                <w:sz w:val="22"/>
              </w:rPr>
              <w:t>WHSOP_002</w:t>
            </w:r>
            <w:r>
              <w:rPr>
                <w:rFonts w:ascii="Calibri" w:hAnsi="Calibri"/>
                <w:b w:val="0"/>
                <w:i w:val="0"/>
                <w:color w:val="000000"/>
                <w:sz w:val="14"/>
              </w:rPr>
            </w:r>
          </w:p>
        </w:tc>
        <w:tc>
          <w:tcPr>
            <w:tcW w:type="dxa" w:w="7808"/>
          </w:tcPr>
          <w:p>
            <w:pPr>
              <w:keepNext/>
            </w:pPr>
            <w:r/>
            <w:r>
              <w:rPr>
                <w:rFonts w:ascii="Calibri" w:hAnsi="Calibri"/>
                <w:b w:val="0"/>
                <w:i w:val="0"/>
                <w:color w:val="000000"/>
                <w:sz w:val="22"/>
              </w:rPr>
              <w:t>Транспорт, увоз, извоз и дистрибуција</w:t>
            </w:r>
            <w:r>
              <w:rPr>
                <w:rFonts w:ascii="Calibri" w:hAnsi="Calibri"/>
                <w:b w:val="0"/>
                <w:i w:val="0"/>
                <w:color w:val="000000"/>
                <w:sz w:val="14"/>
              </w:rPr>
              <w:t xml:space="preserve"> | </w:t>
            </w:r>
            <w:r>
              <w:rPr>
                <w:rFonts w:ascii="Calibri" w:hAnsi="Calibri"/>
                <w:b w:val="0"/>
                <w:i w:val="0"/>
                <w:color w:val="000000"/>
                <w:sz w:val="14"/>
              </w:rPr>
              <w:t>Transport, Import, Export and Distribution</w:t>
            </w:r>
          </w:p>
        </w:tc>
      </w:tr>
      <w:tr>
        <w:trPr>
          <w:cantSplit/>
        </w:trPr>
        <w:tc>
          <w:tcPr>
            <w:tcW w:type="dxa" w:w="2658"/>
          </w:tcPr>
          <w:p>
            <w:r/>
            <w:r>
              <w:rPr>
                <w:rFonts w:ascii="Calibri" w:hAnsi="Calibri"/>
                <w:b w:val="0"/>
                <w:i w:val="0"/>
                <w:color w:val="000000"/>
                <w:sz w:val="22"/>
              </w:rPr>
              <w:t>QAS-02.00</w:t>
            </w:r>
            <w:r>
              <w:rPr>
                <w:rFonts w:ascii="Calibri" w:hAnsi="Calibri"/>
                <w:b w:val="0"/>
                <w:i w:val="0"/>
                <w:color w:val="000000"/>
                <w:sz w:val="14"/>
              </w:rPr>
            </w:r>
          </w:p>
        </w:tc>
        <w:tc>
          <w:tcPr>
            <w:tcW w:type="dxa" w:w="7808"/>
          </w:tcPr>
          <w:p>
            <w:r/>
            <w:r>
              <w:rPr>
                <w:rFonts w:ascii="Calibri" w:hAnsi="Calibri"/>
                <w:b w:val="0"/>
                <w:i w:val="0"/>
                <w:color w:val="000000"/>
                <w:sz w:val="22"/>
              </w:rPr>
              <w:t>Validation Master Plan</w:t>
            </w:r>
            <w:r>
              <w:rPr>
                <w:rFonts w:ascii="Calibri" w:hAnsi="Calibri"/>
                <w:b w:val="0"/>
                <w:i w:val="0"/>
                <w:color w:val="000000"/>
                <w:sz w:val="14"/>
              </w:rPr>
            </w:r>
          </w:p>
        </w:tc>
      </w:tr>
      <w:tr>
        <w:trPr>
          <w:cantSplit/>
        </w:trPr>
        <w:tc>
          <w:tcPr>
            <w:tcW w:type="dxa" w:w="2658"/>
          </w:tcPr>
          <w:p>
            <w:r/>
            <w:r>
              <w:rPr>
                <w:rFonts w:ascii="Calibri" w:hAnsi="Calibri"/>
                <w:b w:val="0"/>
                <w:i w:val="0"/>
                <w:color w:val="000000"/>
                <w:sz w:val="22"/>
              </w:rPr>
              <w:t>QAS-03-001</w:t>
            </w:r>
            <w:r>
              <w:rPr>
                <w:rFonts w:ascii="Calibri" w:hAnsi="Calibri"/>
                <w:b w:val="0"/>
                <w:i w:val="0"/>
                <w:color w:val="000000"/>
                <w:sz w:val="14"/>
              </w:rPr>
            </w:r>
          </w:p>
        </w:tc>
        <w:tc>
          <w:tcPr>
            <w:tcW w:type="dxa" w:w="7808"/>
          </w:tcPr>
          <w:p>
            <w:r/>
            <w:r>
              <w:rPr>
                <w:rFonts w:ascii="Calibri" w:hAnsi="Calibri"/>
                <w:b w:val="0"/>
                <w:i w:val="0"/>
                <w:color w:val="000000"/>
                <w:sz w:val="22"/>
              </w:rPr>
              <w:t>Квалификација на опрема</w:t>
            </w:r>
            <w:r>
              <w:rPr>
                <w:rFonts w:ascii="Calibri" w:hAnsi="Calibri"/>
                <w:b w:val="0"/>
                <w:i w:val="0"/>
                <w:color w:val="000000"/>
                <w:sz w:val="14"/>
              </w:rPr>
              <w:t xml:space="preserve"> | </w:t>
            </w:r>
            <w:r>
              <w:rPr>
                <w:rFonts w:ascii="Calibri" w:hAnsi="Calibri"/>
                <w:b w:val="0"/>
                <w:i w:val="0"/>
                <w:color w:val="000000"/>
                <w:sz w:val="14"/>
              </w:rPr>
              <w:t>Equipment Qualification</w:t>
            </w:r>
          </w:p>
        </w:tc>
      </w:tr>
      <w:tr>
        <w:trPr>
          <w:cantSplit/>
        </w:trPr>
        <w:tc>
          <w:tcPr>
            <w:tcW w:type="dxa" w:w="2658"/>
          </w:tcPr>
          <w:p>
            <w:r/>
            <w:r>
              <w:rPr>
                <w:rFonts w:ascii="Calibri" w:hAnsi="Calibri"/>
                <w:b w:val="0"/>
                <w:i w:val="0"/>
                <w:color w:val="000000"/>
                <w:sz w:val="22"/>
              </w:rPr>
              <w:t>QAS-03-002</w:t>
            </w:r>
            <w:r>
              <w:rPr>
                <w:rFonts w:ascii="Calibri" w:hAnsi="Calibri"/>
                <w:b w:val="0"/>
                <w:i w:val="0"/>
                <w:color w:val="000000"/>
                <w:sz w:val="14"/>
              </w:rPr>
            </w:r>
          </w:p>
        </w:tc>
        <w:tc>
          <w:tcPr>
            <w:tcW w:type="dxa" w:w="7808"/>
          </w:tcPr>
          <w:p>
            <w:r/>
            <w:r>
              <w:rPr>
                <w:rFonts w:ascii="Calibri" w:hAnsi="Calibri"/>
                <w:b w:val="0"/>
                <w:i w:val="0"/>
                <w:color w:val="000000"/>
                <w:sz w:val="22"/>
              </w:rPr>
              <w:t>Валидација на компјутерски системи</w:t>
            </w:r>
            <w:r>
              <w:rPr>
                <w:rFonts w:ascii="Calibri" w:hAnsi="Calibri"/>
                <w:b w:val="0"/>
                <w:i w:val="0"/>
                <w:color w:val="000000"/>
                <w:sz w:val="14"/>
              </w:rPr>
              <w:t xml:space="preserve"> | </w:t>
            </w:r>
            <w:r>
              <w:rPr>
                <w:rFonts w:ascii="Calibri" w:hAnsi="Calibri"/>
                <w:b w:val="0"/>
                <w:i w:val="0"/>
                <w:color w:val="000000"/>
                <w:sz w:val="14"/>
              </w:rPr>
              <w:t>Computerised System Validation</w:t>
            </w:r>
          </w:p>
        </w:tc>
      </w:tr>
      <w:tr>
        <w:trPr>
          <w:cantSplit/>
        </w:trPr>
        <w:tc>
          <w:tcPr>
            <w:tcW w:type="dxa" w:w="2658"/>
          </w:tcPr>
          <w:p>
            <w:r/>
            <w:r>
              <w:rPr>
                <w:rFonts w:ascii="Calibri" w:hAnsi="Calibri"/>
                <w:b w:val="0"/>
                <w:i w:val="0"/>
                <w:color w:val="000000"/>
                <w:sz w:val="22"/>
              </w:rPr>
              <w:t>QAS-04-001</w:t>
            </w:r>
            <w:r>
              <w:rPr>
                <w:rFonts w:ascii="Calibri" w:hAnsi="Calibri"/>
                <w:b w:val="0"/>
                <w:i w:val="0"/>
                <w:color w:val="000000"/>
                <w:sz w:val="14"/>
              </w:rPr>
            </w:r>
          </w:p>
        </w:tc>
        <w:tc>
          <w:tcPr>
            <w:tcW w:type="dxa" w:w="7808"/>
          </w:tcPr>
          <w:p>
            <w:r/>
            <w:r>
              <w:rPr>
                <w:rFonts w:ascii="Calibri" w:hAnsi="Calibri"/>
                <w:b w:val="0"/>
                <w:i w:val="0"/>
                <w:color w:val="000000"/>
                <w:sz w:val="22"/>
              </w:rPr>
              <w:t>Управување со ризик</w:t>
            </w:r>
            <w:r>
              <w:rPr>
                <w:rFonts w:ascii="Calibri" w:hAnsi="Calibri"/>
                <w:b w:val="0"/>
                <w:i w:val="0"/>
                <w:color w:val="000000"/>
                <w:sz w:val="14"/>
              </w:rPr>
              <w:t xml:space="preserve"> | </w:t>
            </w:r>
            <w:r>
              <w:rPr>
                <w:rFonts w:ascii="Calibri" w:hAnsi="Calibri"/>
                <w:b w:val="0"/>
                <w:i w:val="0"/>
                <w:color w:val="000000"/>
                <w:sz w:val="14"/>
              </w:rPr>
              <w:t>Risk Management</w:t>
            </w:r>
          </w:p>
        </w:tc>
      </w:tr>
      <w:tr>
        <w:trPr>
          <w:cantSplit/>
        </w:trPr>
        <w:tc>
          <w:tcPr>
            <w:tcW w:type="dxa" w:w="2658"/>
          </w:tcPr>
          <w:p>
            <w:r/>
            <w:r>
              <w:rPr>
                <w:rFonts w:ascii="Calibri" w:hAnsi="Calibri"/>
                <w:b w:val="0"/>
                <w:i w:val="0"/>
                <w:color w:val="000000"/>
                <w:sz w:val="22"/>
              </w:rPr>
              <w:t>QAS-05-002</w:t>
            </w:r>
            <w:r>
              <w:rPr>
                <w:rFonts w:ascii="Calibri" w:hAnsi="Calibri"/>
                <w:b w:val="0"/>
                <w:i w:val="0"/>
                <w:color w:val="000000"/>
                <w:sz w:val="14"/>
              </w:rPr>
            </w:r>
          </w:p>
        </w:tc>
        <w:tc>
          <w:tcPr>
            <w:tcW w:type="dxa" w:w="7808"/>
          </w:tcPr>
          <w:p>
            <w:r/>
            <w:r>
              <w:rPr>
                <w:rFonts w:ascii="Calibri" w:hAnsi="Calibri"/>
                <w:b w:val="0"/>
                <w:i w:val="0"/>
                <w:color w:val="000000"/>
                <w:sz w:val="22"/>
              </w:rPr>
              <w:t>Отстапувања</w:t>
            </w:r>
            <w:r>
              <w:rPr>
                <w:rFonts w:ascii="Calibri" w:hAnsi="Calibri"/>
                <w:b w:val="0"/>
                <w:i w:val="0"/>
                <w:color w:val="000000"/>
                <w:sz w:val="14"/>
              </w:rPr>
              <w:t xml:space="preserve"> | </w:t>
            </w:r>
            <w:r>
              <w:rPr>
                <w:rFonts w:ascii="Calibri" w:hAnsi="Calibri"/>
                <w:b w:val="0"/>
                <w:i w:val="0"/>
                <w:color w:val="000000"/>
                <w:sz w:val="14"/>
              </w:rPr>
              <w:t>Deviations</w:t>
            </w:r>
          </w:p>
        </w:tc>
      </w:tr>
      <w:tr>
        <w:trPr>
          <w:cantSplit/>
        </w:trPr>
        <w:tc>
          <w:tcPr>
            <w:tcW w:type="dxa" w:w="2658"/>
          </w:tcPr>
          <w:p>
            <w:r/>
            <w:r>
              <w:rPr>
                <w:rFonts w:ascii="Calibri" w:hAnsi="Calibri"/>
                <w:b w:val="0"/>
                <w:i w:val="0"/>
                <w:color w:val="000000"/>
                <w:sz w:val="22"/>
              </w:rPr>
              <w:t>QAS-08-001</w:t>
            </w:r>
            <w:r>
              <w:rPr>
                <w:rFonts w:ascii="Calibri" w:hAnsi="Calibri"/>
                <w:b w:val="0"/>
                <w:i w:val="0"/>
                <w:color w:val="000000"/>
                <w:sz w:val="14"/>
              </w:rPr>
            </w:r>
          </w:p>
        </w:tc>
        <w:tc>
          <w:tcPr>
            <w:tcW w:type="dxa" w:w="7808"/>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2658"/>
          </w:tcPr>
          <w:p>
            <w:r/>
            <w:r>
              <w:rPr>
                <w:rFonts w:ascii="Calibri" w:hAnsi="Calibri"/>
                <w:b w:val="0"/>
                <w:i w:val="0"/>
                <w:color w:val="000000"/>
                <w:sz w:val="22"/>
              </w:rPr>
              <w:t>EQU-02-001</w:t>
            </w:r>
            <w:r>
              <w:rPr>
                <w:rFonts w:ascii="Calibri" w:hAnsi="Calibri"/>
                <w:b w:val="0"/>
                <w:i w:val="0"/>
                <w:color w:val="000000"/>
                <w:sz w:val="14"/>
              </w:rPr>
            </w:r>
          </w:p>
        </w:tc>
        <w:tc>
          <w:tcPr>
            <w:tcW w:type="dxa" w:w="7808"/>
          </w:tcPr>
          <w:p>
            <w:r/>
            <w:r>
              <w:rPr>
                <w:rFonts w:ascii="Calibri" w:hAnsi="Calibri"/>
                <w:b w:val="0"/>
                <w:i w:val="0"/>
                <w:color w:val="000000"/>
                <w:sz w:val="22"/>
              </w:rPr>
              <w:t>Одржување и калибрација</w:t>
            </w:r>
            <w:r>
              <w:rPr>
                <w:rFonts w:ascii="Calibri" w:hAnsi="Calibri"/>
                <w:b w:val="0"/>
                <w:i w:val="0"/>
                <w:color w:val="000000"/>
                <w:sz w:val="14"/>
              </w:rPr>
              <w:t xml:space="preserve"> | </w:t>
            </w:r>
            <w:r>
              <w:rPr>
                <w:rFonts w:ascii="Calibri" w:hAnsi="Calibri"/>
                <w:b w:val="0"/>
                <w:i w:val="0"/>
                <w:color w:val="000000"/>
                <w:sz w:val="14"/>
              </w:rPr>
              <w:t>Maintenance and Calibration</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w:t>
            </w:r>
            <w:r>
              <w:rPr>
                <w:rFonts w:ascii="Calibri" w:hAnsi="Calibri"/>
                <w:b w:val="0"/>
                <w:i w:val="0"/>
                <w:color w:val="000000"/>
                <w:sz w:val="14"/>
              </w:rPr>
              <w:t xml:space="preserve"> | </w:t>
            </w:r>
            <w:r>
              <w:rPr>
                <w:rFonts w:ascii="Calibri" w:hAnsi="Calibri"/>
                <w:b w:val="0"/>
                <w:i w:val="0"/>
                <w:color w:val="000000"/>
                <w:sz w:val="14"/>
              </w:rPr>
              <w:t>New SOP.</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Валидација на транспорт — квалификација на транспортни рути (OQ/PQ)</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Transport Validation — Qualification of Transport Lanes (OQ/PQ)</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QASOP_0XX</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