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40" w:after="60"/>
        <w:jc w:val="center"/>
      </w:pPr>
      <w:r>
        <w:rPr>
          <w:rFonts w:ascii="Calibri" w:hAnsi="Calibri"/>
          <w:b/>
          <w:i w:val="0"/>
          <w:color w:val="2B547E"/>
          <w:sz w:val="24"/>
        </w:rPr>
        <w:t>QASOP_0XX_A01</w:t>
      </w:r>
    </w:p>
    <w:p>
      <w:pPr>
        <w:spacing w:before="0" w:after="60"/>
        <w:jc w:val="center"/>
      </w:pPr>
      <w:r>
        <w:rPr>
          <w:rFonts w:ascii="Calibri" w:hAnsi="Calibri"/>
          <w:b/>
          <w:i w:val="0"/>
          <w:color w:val="000000"/>
          <w:sz w:val="28"/>
        </w:rPr>
        <w:t>План за валидација и процена на ризик на транспортна рута — L01 (пример)</w:t>
      </w:r>
      <w:r>
        <w:rPr>
          <w:rFonts w:ascii="Calibri" w:hAnsi="Calibri"/>
          <w:b w:val="0"/>
          <w:i w:val="0"/>
          <w:color w:val="595959"/>
          <w:sz w:val="20"/>
        </w:rPr>
        <w:t xml:space="preserve"> | </w:t>
      </w:r>
      <w:r>
        <w:rPr>
          <w:rFonts w:ascii="Calibri" w:hAnsi="Calibri"/>
          <w:b/>
          <w:i w:val="0"/>
          <w:color w:val="595959"/>
          <w:sz w:val="20"/>
        </w:rPr>
        <w:t>Lane Validation Plan and Risk Assessment — L01 (example)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595959"/>
          <w:sz w:val="20"/>
        </w:rPr>
        <w:t>(QASOP_0XX)</w:t>
      </w:r>
    </w:p>
    <w:p>
      <w:pPr>
        <w:spacing w:before="0" w:after="160"/>
        <w:jc w:val="center"/>
      </w:pPr>
      <w:r>
        <w:rPr>
          <w:rFonts w:ascii="Calibri" w:hAnsi="Calibri"/>
          <w:b/>
          <w:i w:val="0"/>
          <w:color w:val="C00000"/>
          <w:sz w:val="18"/>
        </w:rPr>
        <w:t>РАБОТНА ВЕРЗИЈА — НЕ ЗА УПОТРЕБА | DRAFT — NOT FOR USE</w:t>
      </w:r>
      <w:r>
        <w:rPr>
          <w:rFonts w:ascii="Calibri" w:hAnsi="Calibri"/>
          <w:b w:val="0"/>
          <w:i w:val="0"/>
          <w:color w:val="595959"/>
          <w:sz w:val="16"/>
        </w:rPr>
        <w:t xml:space="preserve">   —   Верзија | Version: DRAFT   ·   Датум на важност | Effective date: —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ПРИМЕР / СИМУЛАЦИЈА — не е запис. Сите внесени податоци се во загради: сино — од нашите записи или пресметани; виолетово — пример, да се потврди; портокалово — се внесува на денот.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EXAMPLE / SIMULATION — not a record. Every entry is in brackets: blue — from our records or calculated; purple — example, to be confirmed; orange — entered on the day.</w:t>
      </w:r>
    </w:p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1 Идентификација на рутата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Lane identification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109"/>
        <w:gridCol w:w="2534"/>
        <w:gridCol w:w="3288"/>
        <w:gridCol w:w="2534"/>
      </w:tblGrid>
      <w:tr>
        <w:trPr>
          <w:cantSplit/>
        </w:trPr>
        <w:tc>
          <w:tcPr>
            <w:shd w:val="clear" w:color="auto" w:fill="F2F2F2"/>
            <w:vAlign w:val="center"/>
            <w:tcW w:type="pct" w:w="100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Код на рутата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Lane code</w:t>
            </w:r>
          </w:p>
        </w:tc>
        <w:tc>
          <w:tcPr>
            <w:vAlign w:val="center"/>
            <w:tcW w:type="pct" w:w="12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[L01]</w:t>
            </w:r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Број на проект за валидација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Validation project No.</w:t>
            </w:r>
          </w:p>
        </w:tc>
        <w:tc>
          <w:tcPr>
            <w:vAlign w:val="center"/>
            <w:tcW w:type="pct" w:w="12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[TVP-L01-26]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789"/>
        <w:gridCol w:w="7677"/>
      </w:tblGrid>
      <w:tr>
        <w:trPr>
          <w:cantSplit/>
        </w:trPr>
        <w:tc>
          <w:tcPr>
            <w:shd w:val="clear" w:color="auto" w:fill="F2F2F2"/>
            <w:vAlign w:val="center"/>
            <w:tcW w:type="pct" w:w="1332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Место на испраќање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Dispatch point</w:t>
            </w:r>
          </w:p>
        </w:tc>
        <w:tc>
          <w:tcPr>
            <w:vAlign w:val="center"/>
            <w:tcW w:type="pct" w:w="36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Којлија 1043, Петровец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Kojlija 1043, Petrovec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245"/>
        <w:gridCol w:w="8221"/>
      </w:tblGrid>
      <w:tr>
        <w:trPr>
          <w:cantSplit/>
        </w:trPr>
        <w:tc>
          <w:tcPr>
            <w:shd w:val="clear" w:color="auto" w:fill="F2F2F2"/>
            <w:vAlign w:val="center"/>
            <w:tcW w:type="pct" w:w="1072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Место на прием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Receipt point</w:t>
            </w:r>
          </w:p>
        </w:tc>
        <w:tc>
          <w:tcPr>
            <w:vAlign w:val="center"/>
            <w:tcW w:type="pct" w:w="39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7030A0"/>
                <w:sz w:val="20"/>
              </w:rPr>
              <w:t xml:space="preserve">[Versa (купувач според листата за продажба)</w:t>
            </w:r>
            <w:r>
              <w:rPr>
                <w:rFonts w:ascii="Calibri" w:hAnsi="Calibri"/>
                <w:b w:val="0"/>
                <w:i w:val="0"/>
                <w:color w:val="7030A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7030A0"/>
                <w:sz w:val="16"/>
              </w:rPr>
              <w:t xml:space="preserve">Versa (buyer per the sale list)]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 xml:space="preserve"> · </w:t>
            </w:r>
            <w:r>
              <w:rPr>
                <w:rFonts w:ascii="Calibri" w:hAnsi="Calibri"/>
                <w:b w:val="0"/>
                <w:i/>
                <w:color w:val="C55A11"/>
                <w:sz w:val="16"/>
              </w:rPr>
              <w:t xml:space="preserve">[ 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653"/>
        <w:gridCol w:w="2715"/>
        <w:gridCol w:w="2381"/>
        <w:gridCol w:w="2715"/>
      </w:tblGrid>
      <w:tr>
        <w:trPr>
          <w:cantSplit/>
        </w:trPr>
        <w:tc>
          <w:tcPr>
            <w:shd w:val="clear" w:color="auto" w:fill="F2F2F2"/>
            <w:vAlign w:val="center"/>
            <w:tcW w:type="pct" w:w="126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Опис на патеката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Route description</w:t>
            </w:r>
          </w:p>
        </w:tc>
        <w:tc>
          <w:tcPr>
            <w:vAlign w:val="center"/>
            <w:tcW w:type="pct" w:w="1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  <w:tc>
          <w:tcPr>
            <w:shd w:val="clear" w:color="auto" w:fill="F2F2F2"/>
            <w:vAlign w:val="center"/>
            <w:tcW w:type="pct" w:w="113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Растојание (km)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Distance (km)</w:t>
            </w:r>
          </w:p>
        </w:tc>
        <w:tc>
          <w:tcPr>
            <w:vAlign w:val="center"/>
            <w:tcW w:type="pct" w:w="1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1944"/>
        <w:gridCol w:w="3288"/>
        <w:gridCol w:w="1944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Нормално времетраење (h:min)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Normal duration (h:min)</w:t>
            </w:r>
          </w:p>
        </w:tc>
        <w:tc>
          <w:tcPr>
            <w:vAlign w:val="center"/>
            <w:tcW w:type="pct" w:w="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Максимално времетраење со застои (h:min)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Maximum duration with delays (h:min)</w:t>
            </w:r>
          </w:p>
        </w:tc>
        <w:tc>
          <w:tcPr>
            <w:vAlign w:val="center"/>
            <w:tcW w:type="pct" w:w="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564"/>
        <w:gridCol w:w="8901"/>
      </w:tblGrid>
      <w:tr>
        <w:trPr>
          <w:cantSplit/>
        </w:trPr>
        <w:tc>
          <w:tcPr>
            <w:shd w:val="clear" w:color="auto" w:fill="F2F2F2"/>
            <w:vAlign w:val="center"/>
            <w:tcW w:type="pct" w:w="74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Превозник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Carrier</w:t>
            </w:r>
          </w:p>
        </w:tc>
        <w:tc>
          <w:tcPr>
            <w:vAlign w:val="center"/>
            <w:tcW w:type="pct" w:w="42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7030A0"/>
                <w:sz w:val="20"/>
              </w:rPr>
              <w:t xml:space="preserve">[Kuehne + Nagel (предвиден)</w:t>
            </w:r>
            <w:r>
              <w:rPr>
                <w:rFonts w:ascii="Calibri" w:hAnsi="Calibri"/>
                <w:b w:val="0"/>
                <w:i w:val="0"/>
                <w:color w:val="7030A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7030A0"/>
                <w:sz w:val="16"/>
              </w:rPr>
              <w:t xml:space="preserve">Kuehne + Nagel (provisional)]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Возило (регистарски број, тип)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Vehicle (registration, type)</w:t>
            </w:r>
          </w:p>
        </w:tc>
        <w:tc>
          <w:tcPr>
            <w:vAlign w:val="center"/>
            <w:tcW w:type="pct" w:w="34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Контрола на температура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Temperature control</w:t>
            </w:r>
          </w:p>
        </w:tc>
        <w:tc>
          <w:tcPr>
            <w:vAlign w:val="center"/>
            <w:tcW w:type="pct" w:w="34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☐ Активна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Active   ☐ Пасивна (термо-ќебе) | Passive (thermal blanket)</w:t>
            </w:r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2 Материјал и опсег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Material and range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623"/>
        <w:gridCol w:w="4467"/>
        <w:gridCol w:w="283"/>
        <w:gridCol w:w="623"/>
        <w:gridCol w:w="4467"/>
      </w:tblGrid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375623"/>
                <w:sz w:val="24"/>
              </w:rPr>
              <w:t>☒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375623"/>
                <w:sz w:val="24"/>
              </w:rPr>
              <w:t>Готов производ / меѓупроизвод (15–25 °C, RH ≤ 60 %)</w:t>
            </w:r>
            <w:r>
              <w:rPr>
                <w:rFonts w:ascii="Calibri" w:hAnsi="Calibri"/>
                <w:b w:val="0"/>
                <w:i w:val="0"/>
                <w:color w:val="375623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375623"/>
                <w:sz w:val="20"/>
              </w:rPr>
              <w:t>Finished product / intermediate (15–25 °C, RH ≤ 60 %)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Семе (5–20 °C)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Seeds (5–20 °C)</w:t>
            </w:r>
          </w:p>
        </w:tc>
      </w:tr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Клонови (+2 до +8 °C)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Clones (+2 to +8 °C)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12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Максимален товар: палети G / M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Maximum load: pallets L / S</w:t>
            </w:r>
          </w:p>
        </w:tc>
        <w:tc>
          <w:tcPr>
            <w:vAlign w:val="center"/>
            <w:tcW w:type="pct" w:w="34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[29 по возило (најполно возило)</w:t>
            </w:r>
            <w:r>
              <w:rPr>
                <w:rFonts w:ascii="Calibri" w:hAnsi="Calibri"/>
                <w:b w:val="0"/>
                <w:i w:val="0"/>
                <w:color w:val="0B5CAD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6"/>
              </w:rPr>
              <w:t xml:space="preserve">29 per vehicle (fullest vehicle)]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Картони / кеси / маса (kg)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Cartons / bags / mass (kg)</w:t>
            </w:r>
          </w:p>
        </w:tc>
        <w:tc>
          <w:tcPr>
            <w:vAlign w:val="center"/>
            <w:tcW w:type="pct" w:w="34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[Т1: 373 / 3668 / 1 471,51 kg; Т2: 679 / 6677 / 2 677,36 kg]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0466"/>
      </w:tblGrid>
      <w:tr>
        <w:trPr>
          <w:cantSplit/>
        </w:trPr>
        <w:tc>
          <w:tcPr>
            <w:shd w:val="clear" w:color="auto" w:fill="F2F2F2"/>
            <w:tcW w:type="pct" w:w="5000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Симулиран товар (кеси со иста маса и материјал)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Simulated load (bags of the same mass and material)</w:t>
            </w:r>
          </w:p>
          <w:p>
            <w:pPr>
              <w:spacing w:before="20" w:after="40"/>
              <w:jc w:val="both"/>
            </w:pPr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[OQ: 29 G-палети, картони со кеси од 401,0 g, завиткани како во рутина</w:t>
            </w:r>
            <w:r>
              <w:rPr>
                <w:rFonts w:ascii="Calibri" w:hAnsi="Calibri"/>
                <w:b w:val="0"/>
                <w:i w:val="0"/>
                <w:color w:val="0B5CAD"/>
                <w:sz w:val="16"/>
              </w:rPr>
              <w:t xml:space="preserve">  |  </w:t>
            </w:r>
            <w:r>
              <w:rPr>
                <w:rFonts w:ascii="Calibri" w:hAnsi="Calibri"/>
                <w:b w:val="0"/>
                <w:i/>
                <w:color w:val="0B5CAD"/>
                <w:sz w:val="16"/>
              </w:rPr>
              <w:t xml:space="preserve">OQ: 29 L pallets, cartons of 401.0 g bags, wrapped as in routine]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Логери: USB (10) / за еднократна употреба (број)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Loggers: USB (10) / single-use (number)</w:t>
            </w:r>
          </w:p>
        </w:tc>
        <w:tc>
          <w:tcPr>
            <w:vAlign w:val="center"/>
            <w:tcW w:type="pct" w:w="34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[10 / OQ 58, PQ-1 94, PQ-2 170]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1944"/>
        <w:gridCol w:w="3288"/>
        <w:gridCol w:w="1944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Летен амбиентен екстрем (°C)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Summer ambient extreme (°C)</w:t>
            </w:r>
          </w:p>
        </w:tc>
        <w:tc>
          <w:tcPr>
            <w:vAlign w:val="center"/>
            <w:tcW w:type="pct" w:w="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Зимски амбиентен екстрем (°C)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Winter ambient extreme (°C)</w:t>
            </w:r>
          </w:p>
        </w:tc>
        <w:tc>
          <w:tcPr>
            <w:vAlign w:val="center"/>
            <w:tcW w:type="pct" w:w="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Извор на климатските податоци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Source of climate data</w:t>
            </w:r>
          </w:p>
        </w:tc>
        <w:tc>
          <w:tcPr>
            <w:vAlign w:val="center"/>
            <w:tcW w:type="pct" w:w="34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[Управа за хидрометеоролошки работи (УХМР), Скопје</w:t>
            </w:r>
            <w:r>
              <w:rPr>
                <w:rFonts w:ascii="Calibri" w:hAnsi="Calibri"/>
                <w:b w:val="0"/>
                <w:i w:val="0"/>
                <w:color w:val="0B5CAD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6"/>
              </w:rPr>
              <w:t xml:space="preserve">National Hydrometeorological Service, Skopje]</w:t>
            </w:r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3 Процена на ризик (FMEA)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Risk assessment (FMEA)</w:t>
      </w:r>
    </w:p>
    <w:p>
      <w:pPr>
        <w:keepNext/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Оценка 1–5 за веројатност (В), последица (П) и откривање (О); RPN = В × П × О. RPN ≥ 40 мора да се покрие со тест во OQ/PQ или со мерка; RPN ≥ 80 бара образложение одобрено од QA пред протоколот.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Scores 1–5 for likelihood (L), severity (S) and detectability (D); RPN = L × S × D. RPN ≥ 40 must be covered by an OQ/PQ test or a control; RPN ≥ 80 requires a QA-approved justification before the protocol.</w:t>
      </w:r>
    </w:p>
    <w:p>
      <w:pPr>
        <w:keepNext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10"/>
        <w:gridCol w:w="2638"/>
        <w:gridCol w:w="2638"/>
        <w:gridCol w:w="510"/>
        <w:gridCol w:w="510"/>
        <w:gridCol w:w="510"/>
        <w:gridCol w:w="510"/>
        <w:gridCol w:w="2638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№</w:t>
            </w:r>
          </w:p>
        </w:tc>
        <w:tc>
          <w:tcPr>
            <w:shd w:val="clear" w:color="auto" w:fill="2B547E"/>
            <w:vAlign w:val="center"/>
            <w:tcW w:type="dxa" w:w="263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Режим на откажување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Failure mode</w:t>
            </w:r>
          </w:p>
        </w:tc>
        <w:tc>
          <w:tcPr>
            <w:shd w:val="clear" w:color="auto" w:fill="2B547E"/>
            <w:vAlign w:val="center"/>
            <w:tcW w:type="dxa" w:w="263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Ефект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Effect</w:t>
            </w:r>
          </w:p>
        </w:tc>
        <w:tc>
          <w:tcPr>
            <w:shd w:val="clear" w:color="auto" w:fill="2B547E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В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L</w:t>
            </w:r>
          </w:p>
        </w:tc>
        <w:tc>
          <w:tcPr>
            <w:shd w:val="clear" w:color="auto" w:fill="2B547E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</w:t>
            </w:r>
          </w:p>
        </w:tc>
        <w:tc>
          <w:tcPr>
            <w:shd w:val="clear" w:color="auto" w:fill="2B547E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О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</w:t>
            </w:r>
          </w:p>
        </w:tc>
        <w:tc>
          <w:tcPr>
            <w:shd w:val="clear" w:color="auto" w:fill="2B547E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RPN</w:t>
            </w:r>
          </w:p>
        </w:tc>
        <w:tc>
          <w:tcPr>
            <w:shd w:val="clear" w:color="auto" w:fill="2B547E"/>
            <w:vAlign w:val="center"/>
            <w:tcW w:type="dxa" w:w="263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Тест / мерка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Test / control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vAlign w:val="center"/>
            <w:tcW w:type="dxa" w:w="263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Дефект на контролата на температура (ако постои)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Temperature-control failure (if fitted)</w:t>
            </w:r>
          </w:p>
        </w:tc>
        <w:tc>
          <w:tcPr>
            <w:vAlign w:val="center"/>
            <w:tcW w:type="dxa" w:w="263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температура надвор од опсег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temperature out of range</w:t>
            </w:r>
          </w:p>
        </w:tc>
        <w:tc>
          <w:tcPr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63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 прекин на напојување (време на задржување)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OQ power interruption (hold time)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Пасивната заштита не е доволна за времетраењето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Passive protection insufficient for the duration</w:t>
            </w:r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загревање / ладење на палетите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pallets warm / cool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сезонско мапирање со товар ≥ 125 % времетраење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seasonal loaded mapping ≥ 125 % duration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Нерамномерна распределба во товарниот простор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Uneven distribution in the load space</w:t>
            </w:r>
          </w:p>
        </w:tc>
        <w:tc>
          <w:tcPr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локална екскурзија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local excursion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 мапирање P1–P9 + 2 логери по палета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OQ mapping P1–P9 + 2 loggers per pallet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</w:t>
            </w:r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Отворање на вратата при предавање/прием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Door opening at hand-over/receipt</w:t>
            </w:r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краток пик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short peak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 тест врата 2 × 5 мин (P3, P4, P7, P8)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OQ door test 2 × 5 min (P3, P4, P7, P8)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5</w:t>
            </w:r>
          </w:p>
        </w:tc>
        <w:tc>
          <w:tcPr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Летен екстрем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Summer extreme</w:t>
            </w:r>
          </w:p>
        </w:tc>
        <w:tc>
          <w:tcPr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прегревање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overheating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летно мапирање и летна PQ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summer mapping and summer PQ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6</w:t>
            </w:r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Зимски екстрем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Winter extreme</w:t>
            </w:r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поладување / кондензација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undercooling / condensation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зимско мапирање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winter mapping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7</w:t>
            </w:r>
          </w:p>
        </w:tc>
        <w:tc>
          <w:tcPr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Застој или чекање на придружувањето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Traffic delay or waiting for the escort</w:t>
            </w:r>
          </w:p>
        </w:tc>
        <w:tc>
          <w:tcPr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подолго време надвор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longer exposure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 ≥ 125 % од максималното времетраење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OQ ≥ 125 % of maximum duration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8</w:t>
            </w:r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Мала палета (помала термичка маса)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Small pallet (less thermal mass)</w:t>
            </w:r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побрзо загревање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faster warming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мала палета во секој тест со товар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small pallet in every loaded test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9</w:t>
            </w:r>
          </w:p>
        </w:tc>
        <w:tc>
          <w:tcPr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Палета до ѕидот / вратата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Pallet against the wall / door</w:t>
            </w:r>
          </w:p>
        </w:tc>
        <w:tc>
          <w:tcPr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пренос на топлина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heat transfer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распоред во TRA, растојание од ѕидовите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TRA arrangement, clearance from walls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10</w:t>
            </w:r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Оштетено термо-ќебе / фолија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Damaged thermal blanket / film</w:t>
            </w:r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изгубена заштита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protection lost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проверка пред отпрема, A05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pre-dispatch check, A05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11</w:t>
            </w:r>
          </w:p>
        </w:tc>
        <w:tc>
          <w:tcPr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Неправилна позиција на логерот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Wrong logger position</w:t>
            </w:r>
          </w:p>
        </w:tc>
        <w:tc>
          <w:tcPr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неоткриена екскурзија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undetected excursion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позиции Е1/Е2 и жешка точка од OQ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E1/E2 positions and hot spot from OQ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12</w:t>
            </w:r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Дефект / некалибриран логер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Logger failure / out of calibration</w:t>
            </w:r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загубени податоци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data lost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проверка пред и после; сертификат на серијата; втор логер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check before and after; lot certificate; second logger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13</w:t>
            </w:r>
          </w:p>
        </w:tc>
        <w:tc>
          <w:tcPr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Влага во пакувањето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Moisture in packaging</w:t>
            </w:r>
          </w:p>
        </w:tc>
        <w:tc>
          <w:tcPr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RH &gt; 60 %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USB логер за RH, стреч-фолија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USB RH logger, stretch film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14</w:t>
            </w:r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Друго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Other</w:t>
            </w:r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4 Стратегија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Strategy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623"/>
        <w:gridCol w:w="4467"/>
        <w:gridCol w:w="283"/>
        <w:gridCol w:w="623"/>
        <w:gridCol w:w="4467"/>
      </w:tblGrid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375623"/>
                <w:sz w:val="24"/>
              </w:rPr>
              <w:t>☒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375623"/>
                <w:sz w:val="24"/>
              </w:rPr>
              <w:t>Целосна OQ + PQ</w:t>
            </w:r>
            <w:r>
              <w:rPr>
                <w:rFonts w:ascii="Calibri" w:hAnsi="Calibri"/>
                <w:b w:val="0"/>
                <w:i w:val="0"/>
                <w:color w:val="375623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375623"/>
                <w:sz w:val="20"/>
              </w:rPr>
              <w:t>Full OQ + PQ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Реквалификација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Requalification</w:t>
            </w:r>
          </w:p>
        </w:tc>
      </w:tr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 xml:space="preserve">Само PQ (групирање со рута </w:t>
            </w:r>
            <w:r>
              <w:rPr>
                <w:rFonts w:ascii="Calibri" w:hAnsi="Calibri"/>
                <w:b w:val="0"/>
                <w:i w:val="0"/>
                <w:color w:val="C55A11"/>
                <w:sz w:val="24"/>
              </w:rPr>
              <w:t xml:space="preserve">[ ]</w:t>
            </w:r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 xml:space="preserve">)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 xml:space="preserve">PQ only (bracketed with lane </w:t>
            </w:r>
            <w:r>
              <w:rPr>
                <w:rFonts w:ascii="Calibri" w:hAnsi="Calibri"/>
                <w:b w:val="0"/>
                <w:i/>
                <w:color w:val="C55A11"/>
                <w:sz w:val="20"/>
              </w:rPr>
              <w:t xml:space="preserve">[ ]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 xml:space="preserve">)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578"/>
        <w:gridCol w:w="7888"/>
      </w:tblGrid>
      <w:tr>
        <w:trPr>
          <w:cantSplit/>
        </w:trPr>
        <w:tc>
          <w:tcPr>
            <w:gridSpan w:val="2"/>
            <w:shd w:val="clear" w:color="auto" w:fill="F2F2F2"/>
            <w:tcW w:type="dxa" w:w="10466"/>
          </w:tcPr>
          <w:p>
            <w:pPr>
              <w:keepNext/>
              <w:spacing w:before="40" w:after="4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Образложение за групирање / обем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Justification for bracketing / scope</w:t>
            </w:r>
          </w:p>
          <w:p>
            <w:pPr>
              <w:keepNext/>
              <w:spacing w:before="20" w:after="40"/>
              <w:jc w:val="both"/>
            </w:pPr>
            <w:r>
              <w:rPr>
                <w:rFonts w:ascii="Calibri" w:hAnsi="Calibri"/>
                <w:b w:val="0"/>
                <w:i w:val="0"/>
                <w:color w:val="7030A0"/>
                <w:sz w:val="20"/>
              </w:rPr>
              <w:t xml:space="preserve">[Целосна OQ + PQ. OQ (13.10.2026 – 15.10.2026) на возилото на превозникот пред Т1; PQ-1 = Т1 (20.10.2026), PQ-2 = Т2 (27.10.2026), PQ-3 = следната пратка; Т1 и Т2 по исклучителна мерка одобрена од QA (WHSOP_003 §6.2.2)</w:t>
            </w:r>
            <w:r>
              <w:rPr>
                <w:rFonts w:ascii="Calibri" w:hAnsi="Calibri"/>
                <w:b w:val="0"/>
                <w:i w:val="0"/>
                <w:color w:val="7030A0"/>
                <w:sz w:val="16"/>
              </w:rPr>
              <w:t xml:space="preserve">  |  </w:t>
            </w:r>
            <w:r>
              <w:rPr>
                <w:rFonts w:ascii="Calibri" w:hAnsi="Calibri"/>
                <w:b w:val="0"/>
                <w:i/>
                <w:color w:val="7030A0"/>
                <w:sz w:val="16"/>
              </w:rPr>
              <w:t xml:space="preserve">Full OQ + PQ. OQ (13.10.2026 – 15.10.2026) on the carrier's vehicle before T1; PQ-1 = T1 (20.10.2026), PQ-2 = T2 (27.10.2026), PQ-3 = the next shipment; T1 and T2 under a QA-approved exceptional measure (WHSOP_003 §6.2.2)]</w:t>
            </w:r>
          </w:p>
        </w:tc>
      </w:tr>
      <w:tr>
        <w:trPr>
          <w:cantSplit/>
        </w:trPr>
        <w:tc>
          <w:tcPr>
            <w:gridSpan w:val="2"/>
            <w:shd w:val="clear" w:color="auto" w:fill="F2F2F2"/>
            <w:tcW w:type="dxa" w:w="10466"/>
          </w:tcPr>
          <w:p>
            <w:pPr>
              <w:keepNext/>
              <w:spacing w:before="40" w:after="4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Тестови во OQ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OQ tests</w:t>
            </w:r>
          </w:p>
          <w:p>
            <w:pPr>
              <w:keepNext/>
              <w:spacing w:before="20" w:after="40"/>
              <w:jc w:val="both"/>
            </w:pP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празно, полно (≥ 125 % времетраење), врата 2 × 5 мин, прекин на напојување (само активна), летно и зимско мапирање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 | 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empty, loaded (≥ 125 % duration), door 2 × 5 min, power interruption (active only), summer and winter mapping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57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Број на PQ пратки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Number of PQ shipments</w:t>
            </w:r>
          </w:p>
        </w:tc>
        <w:tc>
          <w:tcPr>
            <w:vAlign w:val="center"/>
            <w:tcW w:type="dxa" w:w="788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3 последователни, барем 1 во сезоната на најлош случај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3 consecutive, at least 1 in the worst-case season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57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Планиран почеток и крај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Planned start and end</w:t>
            </w:r>
          </w:p>
        </w:tc>
        <w:tc>
          <w:tcPr>
            <w:vAlign w:val="center"/>
            <w:tcW w:type="dxa" w:w="788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7030A0"/>
                <w:sz w:val="20"/>
              </w:rPr>
              <w:t xml:space="preserve">[13.10.2026 — PQ-3]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578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Членови на тимот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Team members</w:t>
            </w:r>
          </w:p>
        </w:tc>
        <w:tc>
          <w:tcPr>
            <w:vAlign w:val="center"/>
            <w:tcW w:type="dxa" w:w="788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5 Одобрување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Approval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889"/>
        <w:gridCol w:w="2948"/>
        <w:gridCol w:w="1474"/>
        <w:gridCol w:w="215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Изготвил (тим за валидација)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Prepared (validation team)</w:t>
            </w:r>
          </w:p>
        </w:tc>
        <w:tc>
          <w:tcPr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Прегледал (Логистика / Обезбедување)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Reviewed (Logistics / Security)</w:t>
            </w:r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Одобрил (QA)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Approved (QA)</w:t>
            </w:r>
          </w:p>
        </w:tc>
        <w:tc>
          <w:tcPr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</w:tbl>
    <w:sectPr w:rsidR="00433AE1" w:rsidRPr="00E10D5A" w:rsidSect="00522430">
      <w:headerReference w:type="default" r:id="rId7"/>
      <w:footerReference w:type="default" r:id="rId8"/>
      <w:pgSz w:w="11906" w:h="16838" w:code="9"/>
      <w:pgMar w:top="540" w:right="720" w:bottom="630" w:left="720" w:header="567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48C77" w14:textId="77777777" w:rsidR="00E25461" w:rsidRDefault="00E25461">
      <w:r>
        <w:separator/>
      </w:r>
    </w:p>
  </w:endnote>
  <w:endnote w:type="continuationSeparator" w:id="0">
    <w:p w14:paraId="0214EC49" w14:textId="77777777" w:rsidR="00E25461" w:rsidRDefault="00E254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200383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423456F" w14:textId="3FFEC477" w:rsidR="0034733B" w:rsidRDefault="00997218">
            <w:pPr>
              <w:jc w:val="right"/>
            </w:pPr>
            <w:r>
              <w:t xml:space="preserve"> </w:t>
            </w:r>
            <w:r w:rsidR="00000000">
              <w:t xml:space="preserve">Page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PAGE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  <w:r w:rsidR="00000000">
              <w:t xml:space="preserve"> of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NUMPAGES 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82B5DBC" w14:textId="77777777" w:rsidR="0034733B" w:rsidRDefault="0034733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26041" w14:textId="77777777" w:rsidR="00E25461" w:rsidRDefault="00E25461">
      <w:r>
        <w:separator/>
      </w:r>
    </w:p>
  </w:footnote>
  <w:footnote w:type="continuationSeparator" w:id="0">
    <w:p w14:paraId="68847301" w14:textId="77777777" w:rsidR="00E25461" w:rsidRDefault="00E254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17" w:type="pct"/>
      <w:jc w:val="center"/>
      <w:tblBorders>
        <w:top w:val="single" w:sz="8" w:space="0" w:color="7F7F7F"/>
        <w:bottom w:val="single" w:sz="8" w:space="0" w:color="7F7F7F"/>
        <w:insideH w:val="single" w:sz="4" w:space="0" w:color="7F7F7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259"/>
      <w:gridCol w:w="7830"/>
      <w:gridCol w:w="1622"/>
    </w:tblGrid>
    <w:tr w:rsidR="00CB2275" w:rsidRPr="008035CF" w14:paraId="1989F723" w14:textId="77777777" w:rsidTr="00A20230">
      <w:trPr>
        <w:trHeight w:val="880"/>
        <w:jc w:val="center"/>
      </w:trPr>
      <w:tc>
        <w:tcPr>
          <w:tcW w:w="588" w:type="pct"/>
          <w:vMerge w:val="restart"/>
          <w:vAlign w:val="center"/>
        </w:tcPr>
        <w:p w14:paraId="1CC0778B" w14:textId="77777777" w:rsidR="0034733B" w:rsidRPr="00BB324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hAnsi="Calibri" w:cs="Calibri"/>
            </w:rPr>
          </w:pPr>
          <w:bookmarkStart w:id="0" w:name="_Hlk119928939"/>
          <w:r w:rsidRPr="008035CF">
            <w:rPr>
              <w:rFonts w:ascii="Calibri" w:eastAsia="Calibri" w:hAnsi="Calibri" w:cs="Calibri"/>
              <w:b/>
              <w:bCs/>
              <w:noProof/>
            </w:rPr>
            <w:drawing>
              <wp:anchor distT="0" distB="0" distL="114300" distR="114300" simplePos="0" relativeHeight="251661312" behindDoc="0" locked="0" layoutInCell="1" allowOverlap="1" wp14:anchorId="3F3B7D12" wp14:editId="313BF894">
                <wp:simplePos x="0" y="0"/>
                <wp:positionH relativeFrom="column">
                  <wp:posOffset>219031</wp:posOffset>
                </wp:positionH>
                <wp:positionV relativeFrom="paragraph">
                  <wp:posOffset>4445</wp:posOffset>
                </wp:positionV>
                <wp:extent cx="476250" cy="534254"/>
                <wp:effectExtent l="0" t="0" r="0" b="0"/>
                <wp:wrapNone/>
                <wp:docPr id="207091985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6586552" name="Picture 1626586552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7228" t="355" r="36609" b="3907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6250" cy="5342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655" w:type="pct"/>
          <w:vMerge w:val="restart"/>
          <w:vAlign w:val="center"/>
        </w:tcPr>
        <w:p w14:paraId="1EB6C8E5" w14:textId="77777777" w:rsidR="0034733B" w:rsidRPr="002325F2" w:rsidRDefault="00000000" w:rsidP="002325F2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eastAsia="Calibri" w:hAnsi="Calibri" w:cs="Calibri"/>
              <w:lang w:val="ru-RU"/>
            </w:rPr>
          </w:pPr>
          <w:r w:rsidRPr="008035CF">
            <w:rPr>
              <w:rFonts w:ascii="Calibri" w:hAnsi="Calibri" w:cs="Calibri"/>
              <w:lang w:val="mk-MK"/>
            </w:rPr>
            <w:t>Име на документ</w:t>
          </w:r>
          <w:r w:rsidRPr="002325F2">
            <w:rPr>
              <w:rFonts w:ascii="Calibri" w:eastAsia="Calibri" w:hAnsi="Calibri" w:cs="Calibri"/>
              <w:lang w:val="ru-RU"/>
            </w:rPr>
            <w:t xml:space="preserve"> | </w:t>
          </w:r>
          <w:r>
            <w:rPr>
              <w:rFonts w:ascii="Calibri" w:eastAsia="Calibri" w:hAnsi="Calibri" w:cs="Calibri"/>
            </w:rPr>
            <w:t>D</w:t>
          </w:r>
          <w:r w:rsidRPr="008035CF">
            <w:rPr>
              <w:rFonts w:ascii="Calibri" w:eastAsia="Calibri" w:hAnsi="Calibri" w:cs="Calibri"/>
            </w:rPr>
            <w:t>ocument</w:t>
          </w:r>
          <w:r w:rsidRPr="002325F2">
            <w:rPr>
              <w:rFonts w:ascii="Calibri" w:eastAsia="Calibri" w:hAnsi="Calibri" w:cs="Calibri"/>
              <w:lang w:val="ru-RU"/>
            </w:rPr>
            <w:t xml:space="preserve"> </w:t>
          </w:r>
          <w:r>
            <w:rPr>
              <w:rFonts w:ascii="Calibri" w:eastAsia="Calibri" w:hAnsi="Calibri" w:cs="Calibri"/>
            </w:rPr>
            <w:t>name</w:t>
          </w:r>
          <w:r w:rsidRPr="002325F2">
            <w:rPr>
              <w:rFonts w:ascii="Calibri" w:eastAsia="Calibri" w:hAnsi="Calibri" w:cs="Calibri"/>
              <w:lang w:val="ru-RU"/>
            </w:rPr>
            <w:t>:</w:t>
          </w:r>
        </w:p>
        <w:p w14:paraId="6545B1E9" w14:textId="54D9CE82" w:rsidR="0034733B" w:rsidRPr="00A96F26" w:rsidRDefault="00000000" w:rsidP="002325F2">
          <w:pPr>
            <w:ind w:left="14"/>
            <w:contextualSpacing/>
            <w:jc w:val="center"/>
            <w:rPr>
              <w:rFonts w:ascii="Calibri" w:hAnsi="Calibri" w:cs="Calibri"/>
            </w:rPr>
          </w:pPr>
          <w:r w:rsidRPr="00522430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  <w:t>План за валидација и процена на ризик на транспортна рута — L01 (пример)</w:t>
          </w:r>
          <w:r w:rsidR="002325F2" w:rsidRPr="002325F2">
            <w:rPr>
              <w:rFonts w:ascii="Arial Narrow" w:hAnsi="Arial Narrow" w:cs="Arial Narrow"/>
              <w:b/>
              <w:bCs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</w:r>
          <w:r>
            <w:rPr>
              <w:rFonts w:ascii="Arial Narrow" w:hAnsi="Arial Narrow" w:cs="Arial Narrow"/>
              <w:sz w:val="24"/>
              <w:szCs w:val="24"/>
            </w:rPr>
          </w:r>
          <w:r w:rsidR="002325F2">
            <w:rPr>
              <w:rFonts w:ascii="Arial Narrow" w:hAnsi="Arial Narrow" w:cs="Arial Narrow"/>
              <w:sz w:val="24"/>
              <w:szCs w:val="24"/>
            </w:rPr>
          </w:r>
          <w:r w:rsidRPr="002325F2">
            <w:rPr>
              <w:rFonts w:ascii="Arial Narrow" w:hAnsi="Arial Narrow" w:cs="Arial Narrow"/>
            </w:rPr>
            <w:t>Lane Validation Plan and Risk Assessment — L01 (example)</w:t>
          </w:r>
        </w:p>
      </w:tc>
      <w:tc>
        <w:tcPr>
          <w:tcW w:w="757" w:type="pct"/>
          <w:tcBorders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3DC724BE" w14:textId="77777777" w:rsidR="0034733B" w:rsidRPr="008035CF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</w:rPr>
          </w:pPr>
          <w:r w:rsidRPr="008035CF">
            <w:rPr>
              <w:rFonts w:ascii="Calibri" w:hAnsi="Calibri" w:cs="Calibri"/>
              <w:lang w:val="mk-MK"/>
            </w:rPr>
            <w:t>Документ</w:t>
          </w:r>
          <w:r w:rsidRPr="008035CF">
            <w:rPr>
              <w:rFonts w:ascii="Calibri" w:hAnsi="Calibri" w:cs="Calibri"/>
            </w:rPr>
            <w:t xml:space="preserve"> </w:t>
          </w:r>
          <w:r w:rsidRPr="008035CF">
            <w:rPr>
              <w:rFonts w:ascii="Calibri" w:hAnsi="Calibri" w:cs="Calibri"/>
              <w:lang w:val="mk-MK"/>
            </w:rPr>
            <w:t>бр.</w:t>
          </w:r>
          <w:r w:rsidRPr="008035CF">
            <w:rPr>
              <w:rFonts w:ascii="Calibri" w:eastAsia="Calibri" w:hAnsi="Calibri" w:cs="Calibri"/>
            </w:rPr>
            <w:t xml:space="preserve"> </w:t>
          </w:r>
          <w:r>
            <w:rPr>
              <w:rFonts w:ascii="Calibri" w:eastAsia="Calibri" w:hAnsi="Calibri" w:cs="Calibri"/>
            </w:rPr>
            <w:t>|</w:t>
          </w:r>
        </w:p>
        <w:p w14:paraId="7927EEBB" w14:textId="77777777" w:rsidR="00A20230" w:rsidRPr="00A20230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hAnsi="Calibri" w:cs="Calibri"/>
              <w:b/>
              <w:sz w:val="12"/>
              <w:szCs w:val="14"/>
            </w:rPr>
          </w:pPr>
          <w:r w:rsidRPr="00CB2275">
            <w:rPr>
              <w:rFonts w:ascii="Calibri" w:eastAsia="Calibri" w:hAnsi="Calibri" w:cs="Calibri"/>
              <w:sz w:val="18"/>
              <w:szCs w:val="18"/>
            </w:rPr>
            <w:t>Code of document:</w:t>
          </w:r>
          <w:r>
            <w:rPr>
              <w:rFonts w:ascii="Calibri" w:hAnsi="Calibri" w:cs="Calibri"/>
              <w:sz w:val="18"/>
              <w:szCs w:val="18"/>
            </w:rPr>
            <w:t xml:space="preserve"> </w:t>
          </w:r>
          <w:r>
            <w:rPr>
              <w:rFonts w:ascii="Calibri" w:hAnsi="Calibri" w:cs="Calibri"/>
              <w:b/>
              <w:sz w:val="18"/>
            </w:rPr>
            <w:br/>
          </w:r>
        </w:p>
        <w:p w14:paraId="1BD9527C" w14:textId="1CE33015" w:rsidR="0034733B" w:rsidRPr="00CB2275" w:rsidRDefault="00A2023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8"/>
              <w:szCs w:val="18"/>
            </w:rPr>
          </w:pPr>
          <w:r w:rsidRPr="00A20230">
            <w:rPr>
              <w:rFonts w:ascii="Calibri" w:hAnsi="Calibri" w:cs="Calibri"/>
              <w:b/>
              <w:sz w:val="19"/>
              <w:szCs w:val="24"/>
            </w:rPr>
            <w:t>QASOP_0XX_A01</w:t>
          </w:r>
          <w:r>
            <w:rPr>
              <w:rFonts w:ascii="Calibri" w:hAnsi="Calibri" w:cs="Calibri"/>
              <w:b/>
              <w:sz w:val="18"/>
            </w:rPr>
            <w:br/>
          </w:r>
          <w:r w:rsidRPr="00A20230">
            <w:rPr>
              <w:rFonts w:ascii="Calibri" w:hAnsi="Calibri" w:cs="Calibri"/>
              <w:b/>
              <w:szCs w:val="22"/>
            </w:rPr>
          </w:r>
          <w:r w:rsidRPr="00A20230">
            <w:rPr>
              <w:rFonts w:ascii="Calibri" w:hAnsi="Calibri" w:cs="Calibri"/>
              <w:b/>
              <w:szCs w:val="22"/>
            </w:rPr>
          </w:r>
        </w:p>
        <w:p w14:paraId="7B3E2121" w14:textId="77777777" w:rsidR="0034733B" w:rsidRPr="00A20230" w:rsidRDefault="0034733B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4"/>
              <w:szCs w:val="14"/>
            </w:rPr>
          </w:pPr>
        </w:p>
      </w:tc>
    </w:tr>
    <w:tr w:rsidR="00CB2275" w:rsidRPr="008035CF" w14:paraId="51B2CA04" w14:textId="77777777" w:rsidTr="00522430">
      <w:trPr>
        <w:trHeight w:val="167"/>
        <w:jc w:val="center"/>
      </w:trPr>
      <w:tc>
        <w:tcPr>
          <w:tcW w:w="588" w:type="pct"/>
          <w:vMerge/>
        </w:tcPr>
        <w:p w14:paraId="5CDAAED6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  <w:b/>
              <w:bCs/>
            </w:rPr>
          </w:pPr>
        </w:p>
      </w:tc>
      <w:tc>
        <w:tcPr>
          <w:tcW w:w="3655" w:type="pct"/>
          <w:vMerge/>
        </w:tcPr>
        <w:p w14:paraId="4C723FA1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</w:rPr>
          </w:pPr>
        </w:p>
      </w:tc>
      <w:tc>
        <w:tcPr>
          <w:tcW w:w="757" w:type="pct"/>
          <w:tcBorders>
            <w:top w:val="single" w:sz="8" w:space="0" w:color="7F7F7F"/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55FFCEF1" w14:textId="49A40F7D" w:rsidR="0034733B" w:rsidRPr="008035C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</w:rPr>
          </w:pPr>
          <w:r w:rsidRPr="008035CF">
            <w:rPr>
              <w:rFonts w:ascii="Calibri" w:hAnsi="Calibri" w:cs="Calibri"/>
              <w:lang w:val="mk-MK"/>
            </w:rPr>
            <w:t>Верзија</w:t>
          </w:r>
          <w:r w:rsidR="00A20230">
            <w:rPr>
              <w:rFonts w:ascii="Calibri" w:hAnsi="Calibri" w:cs="Calibri"/>
            </w:rPr>
            <w:t xml:space="preserve"> | </w:t>
          </w:r>
          <w:r w:rsidR="00A20230" w:rsidRPr="00A20230">
            <w:rPr>
              <w:rFonts w:ascii="Calibri" w:hAnsi="Calibri" w:cs="Calibri"/>
              <w:sz w:val="16"/>
              <w:szCs w:val="16"/>
            </w:rPr>
            <w:t>Ver</w:t>
          </w:r>
          <w:r w:rsidRPr="00A20230">
            <w:rPr>
              <w:rFonts w:ascii="Calibri" w:eastAsia="Calibri" w:hAnsi="Calibri" w:cs="Calibri"/>
              <w:sz w:val="16"/>
              <w:szCs w:val="16"/>
            </w:rPr>
            <w:t xml:space="preserve"> </w:t>
          </w:r>
          <w:r w:rsidRPr="008035CF">
            <w:rPr>
              <w:rFonts w:ascii="Calibri" w:eastAsia="Calibri" w:hAnsi="Calibri" w:cs="Calibri"/>
              <w:bCs/>
            </w:rPr>
            <w:t>:</w:t>
          </w:r>
          <w:r w:rsidRPr="008035CF">
            <w:rPr>
              <w:rFonts w:ascii="Calibri" w:eastAsia="Calibri" w:hAnsi="Calibri" w:cs="Calibri"/>
              <w:b/>
            </w:rPr>
            <w:t xml:space="preserve"> </w:t>
          </w:r>
          <w:r w:rsidRPr="008035CF">
            <w:rPr>
              <w:rFonts w:ascii="Calibri" w:eastAsia="Calibri" w:hAnsi="Calibri" w:cs="Calibri"/>
              <w:b/>
              <w:bCs/>
            </w:rPr>
            <w:t>DRAFT</w:t>
          </w:r>
        </w:p>
      </w:tc>
    </w:tr>
  </w:tbl>
  <w:bookmarkEnd w:id="0"/>
  <w:p w14:paraId="3A8D8CB6" w14:textId="31ADD0DC" w:rsidR="00522430" w:rsidRPr="004074EE" w:rsidRDefault="00000000" w:rsidP="00C0038D">
    <w:pPr>
      <w:rPr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1090D1D" wp14:editId="2348CF94">
          <wp:simplePos x="0" y="0"/>
          <wp:positionH relativeFrom="column">
            <wp:posOffset>-124460</wp:posOffset>
          </wp:positionH>
          <wp:positionV relativeFrom="paragraph">
            <wp:posOffset>-225425</wp:posOffset>
          </wp:positionV>
          <wp:extent cx="987425" cy="191770"/>
          <wp:effectExtent l="0" t="0" r="3175" b="0"/>
          <wp:wrapNone/>
          <wp:docPr id="2725225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2850" t="42357" r="23877" b="43013"/>
                  <a:stretch>
                    <a:fillRect/>
                  </a:stretch>
                </pic:blipFill>
                <pic:spPr bwMode="auto">
                  <a:xfrm>
                    <a:off x="0" y="0"/>
                    <a:ext cx="987425" cy="1917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8035A"/>
    <w:multiLevelType w:val="hybridMultilevel"/>
    <w:tmpl w:val="A3B02D1E"/>
    <w:lvl w:ilvl="0" w:tplc="3E9A24C0">
      <w:start w:val="1"/>
      <w:numFmt w:val="bullet"/>
      <w:lvlText w:val="●"/>
      <w:lvlJc w:val="left"/>
      <w:pPr>
        <w:ind w:left="720" w:hanging="360"/>
      </w:pPr>
    </w:lvl>
    <w:lvl w:ilvl="1" w:tplc="26248F2A">
      <w:start w:val="1"/>
      <w:numFmt w:val="bullet"/>
      <w:lvlText w:val="○"/>
      <w:lvlJc w:val="left"/>
      <w:pPr>
        <w:ind w:left="1440" w:hanging="360"/>
      </w:pPr>
    </w:lvl>
    <w:lvl w:ilvl="2" w:tplc="D3C48D08">
      <w:start w:val="1"/>
      <w:numFmt w:val="bullet"/>
      <w:lvlText w:val="■"/>
      <w:lvlJc w:val="left"/>
      <w:pPr>
        <w:ind w:left="2160" w:hanging="360"/>
      </w:pPr>
    </w:lvl>
    <w:lvl w:ilvl="3" w:tplc="10A2765A">
      <w:start w:val="1"/>
      <w:numFmt w:val="bullet"/>
      <w:lvlText w:val="●"/>
      <w:lvlJc w:val="left"/>
      <w:pPr>
        <w:ind w:left="2880" w:hanging="360"/>
      </w:pPr>
    </w:lvl>
    <w:lvl w:ilvl="4" w:tplc="D11221CE">
      <w:start w:val="1"/>
      <w:numFmt w:val="bullet"/>
      <w:lvlText w:val="○"/>
      <w:lvlJc w:val="left"/>
      <w:pPr>
        <w:ind w:left="3600" w:hanging="360"/>
      </w:pPr>
    </w:lvl>
    <w:lvl w:ilvl="5" w:tplc="1C60DA0C">
      <w:start w:val="1"/>
      <w:numFmt w:val="bullet"/>
      <w:lvlText w:val="■"/>
      <w:lvlJc w:val="left"/>
      <w:pPr>
        <w:ind w:left="4320" w:hanging="360"/>
      </w:pPr>
    </w:lvl>
    <w:lvl w:ilvl="6" w:tplc="7E089488">
      <w:start w:val="1"/>
      <w:numFmt w:val="bullet"/>
      <w:lvlText w:val="●"/>
      <w:lvlJc w:val="left"/>
      <w:pPr>
        <w:ind w:left="5040" w:hanging="360"/>
      </w:pPr>
    </w:lvl>
    <w:lvl w:ilvl="7" w:tplc="B24CAB60">
      <w:start w:val="1"/>
      <w:numFmt w:val="bullet"/>
      <w:lvlText w:val="●"/>
      <w:lvlJc w:val="left"/>
      <w:pPr>
        <w:ind w:left="5760" w:hanging="360"/>
      </w:pPr>
    </w:lvl>
    <w:lvl w:ilvl="8" w:tplc="F72C0C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4B1930"/>
    <w:multiLevelType w:val="hybridMultilevel"/>
    <w:tmpl w:val="EA8C88A2"/>
    <w:lvl w:ilvl="0" w:tplc="4B1E52F0">
      <w:start w:val="1"/>
      <w:numFmt w:val="decimal"/>
      <w:lvlText w:val="%1."/>
      <w:lvlJc w:val="left"/>
    </w:lvl>
    <w:lvl w:ilvl="1" w:tplc="4E78ACA2">
      <w:numFmt w:val="decimal"/>
      <w:lvlText w:val=""/>
      <w:lvlJc w:val="left"/>
    </w:lvl>
    <w:lvl w:ilvl="2" w:tplc="778A7640">
      <w:numFmt w:val="decimal"/>
      <w:lvlText w:val=""/>
      <w:lvlJc w:val="left"/>
    </w:lvl>
    <w:lvl w:ilvl="3" w:tplc="132AA32C">
      <w:numFmt w:val="decimal"/>
      <w:lvlText w:val=""/>
      <w:lvlJc w:val="left"/>
    </w:lvl>
    <w:lvl w:ilvl="4" w:tplc="52E0D9FA">
      <w:numFmt w:val="decimal"/>
      <w:lvlText w:val=""/>
      <w:lvlJc w:val="left"/>
    </w:lvl>
    <w:lvl w:ilvl="5" w:tplc="07E8AAC2">
      <w:numFmt w:val="decimal"/>
      <w:lvlText w:val=""/>
      <w:lvlJc w:val="left"/>
    </w:lvl>
    <w:lvl w:ilvl="6" w:tplc="66D6AC36">
      <w:numFmt w:val="decimal"/>
      <w:lvlText w:val=""/>
      <w:lvlJc w:val="left"/>
    </w:lvl>
    <w:lvl w:ilvl="7" w:tplc="04801E96">
      <w:numFmt w:val="decimal"/>
      <w:lvlText w:val=""/>
      <w:lvlJc w:val="left"/>
    </w:lvl>
    <w:lvl w:ilvl="8" w:tplc="D206B796">
      <w:numFmt w:val="decimal"/>
      <w:lvlText w:val=""/>
      <w:lvlJc w:val="left"/>
    </w:lvl>
  </w:abstractNum>
  <w:num w:numId="1" w16cid:durableId="11308968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AE1"/>
    <w:rsid w:val="000B303D"/>
    <w:rsid w:val="001B0C25"/>
    <w:rsid w:val="002325F2"/>
    <w:rsid w:val="00286952"/>
    <w:rsid w:val="0034733B"/>
    <w:rsid w:val="003B7342"/>
    <w:rsid w:val="004137D6"/>
    <w:rsid w:val="00433AE1"/>
    <w:rsid w:val="00522430"/>
    <w:rsid w:val="005A6F39"/>
    <w:rsid w:val="00675692"/>
    <w:rsid w:val="00715928"/>
    <w:rsid w:val="007B736C"/>
    <w:rsid w:val="00865DA3"/>
    <w:rsid w:val="00880834"/>
    <w:rsid w:val="008B48AB"/>
    <w:rsid w:val="009045F7"/>
    <w:rsid w:val="00953DF2"/>
    <w:rsid w:val="00974D3F"/>
    <w:rsid w:val="00997218"/>
    <w:rsid w:val="009A32EF"/>
    <w:rsid w:val="00A20230"/>
    <w:rsid w:val="00A50870"/>
    <w:rsid w:val="00AD5A6C"/>
    <w:rsid w:val="00B44EDD"/>
    <w:rsid w:val="00C51BB8"/>
    <w:rsid w:val="00C84F50"/>
    <w:rsid w:val="00C96049"/>
    <w:rsid w:val="00E10D5A"/>
    <w:rsid w:val="00E25461"/>
    <w:rsid w:val="00EA74E3"/>
    <w:rsid w:val="00F12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FC5D1"/>
  <w15:docId w15:val="{790255BA-E0AD-429B-827F-B589765C1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/>
      <w:sz w:val="22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25F2"/>
  </w:style>
  <w:style w:type="paragraph" w:styleId="Footer">
    <w:name w:val="footer"/>
    <w:basedOn w:val="Normal"/>
    <w:link w:val="Foot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25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9</Pages>
  <Words>2723</Words>
  <Characters>15526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PP-QC-AMVR-a02.1-001/2025</vt:lpstr>
    </vt:vector>
  </TitlesOfParts>
  <Company/>
  <LinksUpToDate>false</LinksUpToDate>
  <CharactersWithSpaces>18213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PP-QC-AMVR-a02.1-001/2025</dc:title>
  <dc:creator>Purely Plant GmbH</dc:creator>
  <cp:lastModifiedBy>Blagoj Nikolov</cp:lastModifiedBy>
  <cp:revision>22</cp:revision>
  <cp:lastPrinted>2026-06-18T13:51:00Z</cp:lastPrinted>
  <dcterms:created xsi:type="dcterms:W3CDTF">2026-06-18T08:25:00Z</dcterms:created>
  <dcterms:modified xsi:type="dcterms:W3CDTF">2026-06-18T13:52:00Z</dcterms:modified>
</cp:coreProperties>
</file>