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QASOP_0XX_A04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Запис за извршување на PQ пратка — PQ-2 = Т2 (пример)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PQ Shipment Execution Record — PQ-2 = T2 (example)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(QASOP_0XX)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ПРИМЕР / СИМУЛАЦИЈА — не е запис. Сите внесени податоци се во загради: сино — од нашите записи или пресметани; виолетово — пример, да се потврди; портокалово — се внесува на денот.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EXAMPLE / SIMULATION — not a record. Every entry is in brackets: blue — from our records or calculated; purple — example, to be confirmed; orange — entered on the day.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Идентификација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Identification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109"/>
        <w:gridCol w:w="3192"/>
        <w:gridCol w:w="1973"/>
        <w:gridCol w:w="3192"/>
      </w:tblGrid>
      <w:tr>
        <w:trPr>
          <w:cantSplit/>
        </w:trPr>
        <w:tc>
          <w:tcPr>
            <w:shd w:val="clear" w:color="auto" w:fill="F2F2F2"/>
            <w:vAlign w:val="center"/>
            <w:tcW w:type="pct" w:w="10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Код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code</w:t>
            </w:r>
          </w:p>
        </w:tc>
        <w:tc>
          <w:tcPr>
            <w:vAlign w:val="center"/>
            <w:tcW w:type="pct" w:w="15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[L01]</w:t>
            </w:r>
          </w:p>
        </w:tc>
        <w:tc>
          <w:tcPr>
            <w:shd w:val="clear" w:color="auto" w:fill="F2F2F2"/>
            <w:vAlign w:val="center"/>
            <w:tcW w:type="pct" w:w="94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Протокол бр.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Protocol No.</w:t>
            </w:r>
          </w:p>
        </w:tc>
        <w:tc>
          <w:tcPr>
            <w:vAlign w:val="center"/>
            <w:tcW w:type="pct" w:w="15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[TVP-L01-26]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837"/>
        <w:gridCol w:w="3056"/>
        <w:gridCol w:w="2517"/>
        <w:gridCol w:w="3056"/>
      </w:tblGrid>
      <w:tr>
        <w:trPr>
          <w:cantSplit/>
        </w:trPr>
        <w:tc>
          <w:tcPr>
            <w:shd w:val="clear" w:color="auto" w:fill="F2F2F2"/>
            <w:vAlign w:val="center"/>
            <w:tcW w:type="pct" w:w="87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PQ пратка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PQ shipment</w:t>
            </w:r>
          </w:p>
        </w:tc>
        <w:tc>
          <w:tcPr>
            <w:vAlign w:val="center"/>
            <w:tcW w:type="pct" w:w="1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1   ☒ 2   ☐ 3</w:t>
            </w:r>
          </w:p>
        </w:tc>
        <w:tc>
          <w:tcPr>
            <w:shd w:val="clear" w:color="auto" w:fill="F2F2F2"/>
            <w:vAlign w:val="center"/>
            <w:tcW w:type="pct" w:w="120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 (WHSOP_003)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UTID (WHSOP_003)</w:t>
            </w:r>
          </w:p>
        </w:tc>
        <w:tc>
          <w:tcPr>
            <w:vAlign w:val="center"/>
            <w:tcW w:type="pct" w:w="1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[TR-20261027-001]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20"/>
        <w:gridCol w:w="9446"/>
      </w:tblGrid>
      <w:tr>
        <w:trPr>
          <w:cantSplit/>
        </w:trPr>
        <w:tc>
          <w:tcPr>
            <w:shd w:val="clear" w:color="auto" w:fill="F2F2F2"/>
            <w:vAlign w:val="center"/>
            <w:tcW w:type="pct" w:w="48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pct" w:w="45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[27.10.2026]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56"/>
        <w:gridCol w:w="9310"/>
      </w:tblGrid>
      <w:tr>
        <w:trPr>
          <w:cantSplit/>
        </w:trPr>
        <w:tc>
          <w:tcPr>
            <w:shd w:val="clear" w:color="auto" w:fill="F2F2F2"/>
            <w:vAlign w:val="center"/>
            <w:tcW w:type="pct" w:w="55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Сезона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Season</w:t>
            </w:r>
          </w:p>
        </w:tc>
        <w:tc>
          <w:tcPr>
            <w:vAlign w:val="center"/>
            <w:tcW w:type="pct" w:w="44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[есен (октомври)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autumn (October)]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2534"/>
        <w:gridCol w:w="2109"/>
        <w:gridCol w:w="253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Амбиент мин./макс. (°C)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Ambient min./max. (°C)</w:t>
            </w:r>
          </w:p>
        </w:tc>
        <w:tc>
          <w:tcPr>
            <w:vAlign w:val="center"/>
            <w:tcW w:type="pct" w:w="12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0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Палети G / M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Pallets L / S</w:t>
            </w:r>
          </w:p>
        </w:tc>
        <w:tc>
          <w:tcPr>
            <w:vAlign w:val="center"/>
            <w:tcW w:type="pct" w:w="12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[85 / 0]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rPr>
          <w:cantSplit/>
        </w:trPr>
        <w:tc>
          <w:tcPr>
            <w:shd w:val="clear" w:color="auto" w:fill="F2F2F2"/>
            <w:tcW w:type="pct" w:w="5000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Превозник / возило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Carrier / vehicle</w:t>
            </w:r>
          </w:p>
          <w:p>
            <w:pPr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[Kuehne + Nagel (предвиден)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Kuehne + Nagel (provisional)]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 xml:space="preserve"> ·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[V1: P01–P29 (29); V2: P30–P57 (28); V3: P58–P85 (28)]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Контрола на температура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Temperature control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Активна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Active   ☐ Пасивна | Passive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Полициско придружување потврдено (МВР бр.)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Police escort confirmed (MoIA No.)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24"/>
              </w:rPr>
              <w:t>☒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24"/>
              </w:rPr>
              <w:t>Реален производ</w:t>
            </w:r>
            <w:r>
              <w:rPr>
                <w:rFonts w:ascii="Calibri" w:hAnsi="Calibri"/>
                <w:b w:val="0"/>
                <w:i w:val="0"/>
                <w:color w:val="375623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375623"/>
                <w:sz w:val="20"/>
              </w:rPr>
              <w:t>Real product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Симулиран товар (иста маса и конфигурација на палети)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Simulated load (same mass and pallet configuration)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Логери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Loggers</w:t>
      </w:r>
    </w:p>
    <w:p>
      <w:pPr>
        <w:keepNext w:val="0"/>
        <w:spacing w:before="0" w:after="0" w:lineRule="exact" w:line="16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F2F2F2"/>
      </w:pPr>
      <w:r>
        <w:rPr>
          <w:rFonts w:ascii="Calibri" w:hAnsi="Calibri"/>
          <w:b/>
          <w:i w:val="0"/>
          <w:color w:val="2B547E"/>
          <w:sz w:val="20"/>
        </w:rPr>
        <w:t>2.1 USB логери</w:t>
      </w:r>
      <w:r>
        <w:rPr>
          <w:rFonts w:ascii="Calibri" w:hAnsi="Calibri"/>
          <w:b w:val="0"/>
          <w:i w:val="0"/>
          <w:color w:val="2B547E"/>
          <w:sz w:val="16"/>
        </w:rPr>
        <w:t xml:space="preserve"> | </w:t>
      </w:r>
      <w:r>
        <w:rPr>
          <w:rFonts w:ascii="Calibri" w:hAnsi="Calibri"/>
          <w:b w:val="0"/>
          <w:i w:val="0"/>
          <w:color w:val="2B547E"/>
          <w:sz w:val="16"/>
        </w:rPr>
        <w:t>USB loggers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41"/>
        <w:gridCol w:w="1290"/>
        <w:gridCol w:w="1849"/>
        <w:gridCol w:w="637"/>
        <w:gridCol w:w="737"/>
        <w:gridCol w:w="637"/>
        <w:gridCol w:w="745"/>
        <w:gridCol w:w="1727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84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Position</w:t>
            </w:r>
          </w:p>
        </w:tc>
        <w:tc>
          <w:tcPr>
            <w:shd w:val="clear" w:color="auto" w:fill="2B547E"/>
            <w:vAlign w:val="center"/>
            <w:tcW w:type="dxa" w:w="12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Сериски број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Serial No.</w:t>
            </w:r>
          </w:p>
        </w:tc>
        <w:tc>
          <w:tcPr>
            <w:shd w:val="clear" w:color="auto" w:fill="2B547E"/>
            <w:vAlign w:val="center"/>
            <w:tcW w:type="dxa" w:w="184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Калибрација важи до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Calibration due</w:t>
            </w:r>
          </w:p>
        </w:tc>
        <w:tc>
          <w:tcPr>
            <w:shd w:val="clear" w:color="auto" w:fill="2B547E"/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Мин. (°C)</w:t>
            </w:r>
          </w:p>
        </w:tc>
        <w:tc>
          <w:tcPr>
            <w:shd w:val="clear" w:color="auto" w:fill="2B547E"/>
            <w:vAlign w:val="center"/>
            <w:tcW w:type="dxa" w:w="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(°C)</w:t>
            </w:r>
          </w:p>
        </w:tc>
        <w:tc>
          <w:tcPr>
            <w:shd w:val="clear" w:color="auto" w:fill="2B547E"/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(°C)</w:t>
            </w:r>
          </w:p>
        </w:tc>
        <w:tc>
          <w:tcPr>
            <w:shd w:val="clear" w:color="auto" w:fill="2B547E"/>
            <w:vAlign w:val="center"/>
            <w:tcW w:type="dxa" w:w="7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RH (%)</w:t>
            </w:r>
          </w:p>
        </w:tc>
        <w:tc>
          <w:tcPr>
            <w:shd w:val="clear" w:color="auto" w:fill="2B547E"/>
            <w:vAlign w:val="center"/>
            <w:tcW w:type="dxa" w:w="172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Време надвор (мин)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Time out (min)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84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Жешка точка од OQ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OQ hot spot</w:t>
            </w:r>
          </w:p>
        </w:tc>
        <w:tc>
          <w:tcPr>
            <w:vAlign w:val="center"/>
            <w:tcW w:type="dxa" w:w="12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84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72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84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Студена точка од OQ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OQ cold spot</w:t>
            </w:r>
          </w:p>
        </w:tc>
        <w:tc>
          <w:tcPr>
            <w:shd w:val="clear" w:color="auto" w:fill="F7FAFC"/>
            <w:vAlign w:val="center"/>
            <w:tcW w:type="dxa" w:w="12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84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72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8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Амбиент (надвор)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Ambient (outside)</w:t>
            </w:r>
          </w:p>
        </w:tc>
        <w:tc>
          <w:tcPr>
            <w:vAlign w:val="center"/>
            <w:tcW w:type="dxa" w:w="129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84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7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6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F2F2F2"/>
      </w:pPr>
      <w:r>
        <w:rPr>
          <w:rFonts w:ascii="Calibri" w:hAnsi="Calibri"/>
          <w:b/>
          <w:i w:val="0"/>
          <w:color w:val="2B547E"/>
          <w:sz w:val="20"/>
        </w:rPr>
        <w:t>2.2 Логери за еднократна употреба во палетите</w:t>
      </w:r>
      <w:r>
        <w:rPr>
          <w:rFonts w:ascii="Calibri" w:hAnsi="Calibri"/>
          <w:b w:val="0"/>
          <w:i w:val="0"/>
          <w:color w:val="2B547E"/>
          <w:sz w:val="16"/>
        </w:rPr>
        <w:t xml:space="preserve"> | </w:t>
      </w:r>
      <w:r>
        <w:rPr>
          <w:rFonts w:ascii="Calibri" w:hAnsi="Calibri"/>
          <w:b w:val="0"/>
          <w:i w:val="0"/>
          <w:color w:val="2B547E"/>
          <w:sz w:val="16"/>
        </w:rPr>
        <w:t>Single-use loggers in the pallets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025"/>
        <w:gridCol w:w="784"/>
        <w:gridCol w:w="1022"/>
        <w:gridCol w:w="1521"/>
        <w:gridCol w:w="1022"/>
        <w:gridCol w:w="1521"/>
        <w:gridCol w:w="850"/>
        <w:gridCol w:w="718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02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на палета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Pallet ID</w:t>
            </w:r>
          </w:p>
        </w:tc>
        <w:tc>
          <w:tcPr>
            <w:shd w:val="clear" w:color="auto" w:fill="2B547E"/>
            <w:vAlign w:val="center"/>
            <w:tcW w:type="dxa" w:w="78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Тип G/M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Type L/S</w:t>
            </w:r>
          </w:p>
        </w:tc>
        <w:tc>
          <w:tcPr>
            <w:shd w:val="clear" w:color="auto" w:fill="2B547E"/>
            <w:vAlign w:val="center"/>
            <w:tcW w:type="dxa" w:w="10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Е1 сер.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E1 serial</w:t>
            </w:r>
          </w:p>
        </w:tc>
        <w:tc>
          <w:tcPr>
            <w:shd w:val="clear" w:color="auto" w:fill="2B547E"/>
            <w:vAlign w:val="center"/>
            <w:tcW w:type="dxa" w:w="15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Е1 мин./макс. (°C)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E1 min./max. (°C)</w:t>
            </w:r>
          </w:p>
        </w:tc>
        <w:tc>
          <w:tcPr>
            <w:shd w:val="clear" w:color="auto" w:fill="2B547E"/>
            <w:vAlign w:val="center"/>
            <w:tcW w:type="dxa" w:w="10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Е2 сер.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E2 serial</w:t>
            </w:r>
          </w:p>
        </w:tc>
        <w:tc>
          <w:tcPr>
            <w:shd w:val="clear" w:color="auto" w:fill="2B547E"/>
            <w:vAlign w:val="center"/>
            <w:tcW w:type="dxa" w:w="15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Е2 мин./макс. (°C)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E2 min./max. (°C)</w:t>
            </w:r>
          </w:p>
        </w:tc>
        <w:tc>
          <w:tcPr>
            <w:shd w:val="clear" w:color="auto" w:fill="2B547E"/>
            <w:vAlign w:val="center"/>
            <w:tcW w:type="dxa" w:w="8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Аларм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Alarm</w:t>
            </w:r>
          </w:p>
        </w:tc>
        <w:tc>
          <w:tcPr>
            <w:shd w:val="clear" w:color="auto" w:fill="2B547E"/>
            <w:vAlign w:val="center"/>
            <w:tcW w:type="dxa" w:w="71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(°C)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[TR-20261027-001-P01 (V1)]</w:t>
            </w:r>
          </w:p>
        </w:tc>
        <w:tc>
          <w:tcPr>
            <w:vAlign w:val="center"/>
            <w:tcW w:type="dxa" w:w="78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[TR-20261027-001-P02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[TR-20261027-001-P03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[TR-20261027-001-P04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[TR-20261027-001-P05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[TR-20261027-001-P06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[TR-20261027-001-P07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[TR-20261027-001-P08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[TR-20261027-001-P09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[TR-20261027-001-P10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[TR-20261027-001-P11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[TR-20261027-001-P12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[TR-20261027-001-P13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[TR-20261027-001-P14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[TR-20261027-001-P15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[TR-20261027-001-P16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[TR-20261027-001-P17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[TR-20261027-001-P18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[TR-20261027-001-P19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[TR-20261027-001-P20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[TR-20261027-001-P21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[TR-20261027-001-P22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[TR-20261027-001-P23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[TR-20261027-001-P24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[TR-20261027-001-P25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[TR-20261027-001-P26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[TR-20261027-001-P27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[TR-20261027-001-P28 (V1)]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[TR-20261027-001-P29 (V1)]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[TR-20261027-001-P30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[TR-20261027-001-P31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[TR-20261027-001-P32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[TR-20261027-001-P33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[TR-20261027-001-P34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[TR-20261027-001-P35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[TR-20261027-001-P36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[TR-20261027-001-P37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[TR-20261027-001-P38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[TR-20261027-001-P39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[TR-20261027-001-P40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[TR-20261027-001-P41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[TR-20261027-001-P42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[TR-20261027-001-P43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[TR-20261027-001-P44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[TR-20261027-001-P45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[TR-20261027-001-P46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[TR-20261027-001-P47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[TR-20261027-001-P48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[TR-20261027-001-P49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[TR-20261027-001-P50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[TR-20261027-001-P51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[TR-20261027-001-P52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[TR-20261027-001-P53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[TR-20261027-001-P54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[TR-20261027-001-P55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[TR-20261027-001-P56 (V2)]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[TR-20261027-001-P57 (V2)]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[TR-20261027-001-P58 (V3)]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[TR-20261027-001-P59 (V3)]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[TR-20261027-001-P60 (V3)]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[TR-20261027-001-P61 (V3)]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[TR-20261027-001-P62 (V3)]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[TR-20261027-001-P63 (V3)]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[TR-20261027-001-P64 (V3)]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[TR-20261027-001-P65 (V3)]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[TR-20261027-001-P66 (V3)]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[TR-20261027-001-P67 (V3)]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[TR-20261027-001-P68 (V3)]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[TR-20261027-001-P69 (V3)]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[TR-20261027-001-P70 (V3)]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[TR-20261027-001-P71 (V3)]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[TR-20261027-001-P72 (V3)]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[TR-20261027-001-P73 (V3)]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[TR-20261027-001-P74 (V3)]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[TR-20261027-001-P75 (V3)]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[TR-20261027-001-P76 (V3)]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[TR-20261027-001-P77 (V3)]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[TR-20261027-001-P78 (V3)]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[TR-20261027-001-P79 (V3)]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[TR-20261027-001-P80 (V3)]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[TR-20261027-001-P81 (V3)]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[TR-20261027-001-P82 (V3)]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[TR-20261027-001-P83 (V3)]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[TR-20261027-001-P84 (V3)]</w:t>
            </w:r>
          </w:p>
        </w:tc>
        <w:tc>
          <w:tcPr>
            <w:shd w:val="clear" w:color="auto" w:fill="F7FAFC"/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0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[TR-20261027-001-P85 (V3)]</w:t>
            </w:r>
          </w:p>
        </w:tc>
        <w:tc>
          <w:tcPr>
            <w:vAlign w:val="center"/>
            <w:tcW w:type="dxa" w:w="7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Тек на пратката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Shipment timeline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506"/>
        <w:gridCol w:w="2056"/>
        <w:gridCol w:w="2903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50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Настан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Event</w:t>
            </w:r>
          </w:p>
        </w:tc>
        <w:tc>
          <w:tcPr>
            <w:shd w:val="clear" w:color="auto" w:fill="2B547E"/>
            <w:vAlign w:val="center"/>
            <w:tcW w:type="dxa" w:w="20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Time</w:t>
            </w:r>
          </w:p>
        </w:tc>
        <w:tc>
          <w:tcPr>
            <w:shd w:val="clear" w:color="auto" w:fill="2B547E"/>
            <w:vAlign w:val="center"/>
            <w:tcW w:type="dxa" w:w="290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Remark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0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Предкондиционирање почнато (само активна)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Pre-conditioning started (active only)</w:t>
            </w:r>
          </w:p>
        </w:tc>
        <w:tc>
          <w:tcPr>
            <w:vAlign w:val="center"/>
            <w:tcW w:type="dxa" w:w="20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0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0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Палетите завиткани, логерите активирани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 wrapped, loggers started</w:t>
            </w:r>
          </w:p>
        </w:tc>
        <w:tc>
          <w:tcPr>
            <w:shd w:val="clear" w:color="auto" w:fill="F7FAFC"/>
            <w:vAlign w:val="center"/>
            <w:tcW w:type="dxa" w:w="20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0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Товарање завршено, вратата затворена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Loading complete, door closed</w:t>
            </w:r>
          </w:p>
        </w:tc>
        <w:tc>
          <w:tcPr>
            <w:vAlign w:val="center"/>
            <w:tcW w:type="dxa" w:w="2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Departure</w:t>
            </w:r>
          </w:p>
        </w:tc>
        <w:tc>
          <w:tcPr>
            <w:shd w:val="clear" w:color="auto" w:fill="F7FAFC"/>
            <w:vAlign w:val="center"/>
            <w:tcW w:type="dxa" w:w="2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Застанувања (место, траење)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Stops (place, duration)</w:t>
            </w:r>
          </w:p>
        </w:tc>
        <w:tc>
          <w:tcPr>
            <w:vAlign w:val="center"/>
            <w:tcW w:type="dxa" w:w="2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Arrival</w:t>
            </w:r>
          </w:p>
        </w:tc>
        <w:tc>
          <w:tcPr>
            <w:shd w:val="clear" w:color="auto" w:fill="F7FAFC"/>
            <w:vAlign w:val="center"/>
            <w:tcW w:type="dxa" w:w="2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Отворање и истовар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Opening and unloading</w:t>
            </w:r>
          </w:p>
        </w:tc>
        <w:tc>
          <w:tcPr>
            <w:vAlign w:val="center"/>
            <w:tcW w:type="dxa" w:w="2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9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5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 времетраење (h:min)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 duration (h:min)</w:t>
            </w:r>
          </w:p>
        </w:tc>
        <w:tc>
          <w:tcPr>
            <w:shd w:val="clear" w:color="auto" w:fill="F7FAFC"/>
            <w:vAlign w:val="center"/>
            <w:tcW w:type="dxa" w:w="2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9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Критериуми за прифаќање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Acceptance criteria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10"/>
        <w:gridCol w:w="4889"/>
        <w:gridCol w:w="2443"/>
        <w:gridCol w:w="1315"/>
        <w:gridCol w:w="1207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6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4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Criterion</w:t>
            </w:r>
          </w:p>
        </w:tc>
        <w:tc>
          <w:tcPr>
            <w:shd w:val="clear" w:color="auto" w:fill="2B547E"/>
            <w:vAlign w:val="center"/>
            <w:tcW w:type="dxa" w:w="244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Result</w:t>
            </w:r>
          </w:p>
        </w:tc>
        <w:tc>
          <w:tcPr>
            <w:shd w:val="clear" w:color="auto" w:fill="2B547E"/>
            <w:vAlign w:val="center"/>
            <w:tcW w:type="dxa" w:w="131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12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4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Сите логери во палетите во опсег во текот на целото патување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pallet loggers within range throughout the journey</w:t>
            </w:r>
          </w:p>
        </w:tc>
        <w:tc>
          <w:tcPr>
            <w:vAlign w:val="center"/>
            <w:tcW w:type="dxa" w:w="244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31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2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4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MKT во опсег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MKT within range</w:t>
            </w:r>
          </w:p>
        </w:tc>
        <w:tc>
          <w:tcPr>
            <w:shd w:val="clear" w:color="auto" w:fill="F7FAFC"/>
            <w:vAlign w:val="center"/>
            <w:tcW w:type="dxa" w:w="244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31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2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Макс. RH ≤ 60 % (каде е применливо)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Max. RH ≤ 60 % (where applicable)</w:t>
            </w:r>
          </w:p>
        </w:tc>
        <w:tc>
          <w:tcPr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Времетраење ≤ квалификуваното максимално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Duration ≤ qualified maximum</w:t>
            </w:r>
          </w:p>
        </w:tc>
        <w:tc>
          <w:tcPr>
            <w:shd w:val="clear" w:color="auto" w:fill="F7FAFC"/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Пломбите, лентите и завиткувањето цели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Seals, tapes and wrapping intact</w:t>
            </w:r>
          </w:p>
        </w:tc>
        <w:tc>
          <w:tcPr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Ланецот на надзор (WHSOP_003_A04) комплетен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Chain of custody (WHSOP_003_A04) complete</w:t>
            </w:r>
          </w:p>
        </w:tc>
        <w:tc>
          <w:tcPr>
            <w:shd w:val="clear" w:color="auto" w:fill="F7FAFC"/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Пакувањето без оштетување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Packaging undamaged</w:t>
            </w:r>
          </w:p>
        </w:tc>
        <w:tc>
          <w:tcPr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Контролните јавувања ја потврдуваат одобрената рута; придружувањето присутно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Check-in calls confirm the approved route; escort present</w:t>
            </w:r>
          </w:p>
        </w:tc>
        <w:tc>
          <w:tcPr>
            <w:shd w:val="clear" w:color="auto" w:fill="F7FAFC"/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476"/>
        <w:gridCol w:w="6989"/>
      </w:tblGrid>
      <w:tr>
        <w:trPr>
          <w:cantSplit/>
        </w:trPr>
        <w:tc>
          <w:tcPr>
            <w:shd w:val="clear" w:color="auto" w:fill="F2F2F2"/>
            <w:vAlign w:val="center"/>
            <w:tcW w:type="dxa" w:w="34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Отстапувања (број и опис)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Deviations (No. and description)</w:t>
            </w:r>
          </w:p>
        </w:tc>
        <w:tc>
          <w:tcPr>
            <w:vAlign w:val="center"/>
            <w:tcW w:type="dxa" w:w="69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Ги исполнува критериумите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Meets the criteria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Не ги исполнува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Does not meet the criteria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Потписи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Signatures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and entered data (validation team)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податоците (второ лице)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Verified the data (second person)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Reviewed (QA)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Запис за извршување на PQ пратка — PQ-2 = Т2 (пример)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PQ Shipment Execution Record — PQ-2 = T2 (example)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QASOP_0XX_A04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