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QAS-10-003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Ретенционите мостри подготвени, означени, евидентирани и спакувани во картонот RS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 samples prepared, labelled, recorded and packed in the RS carton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отпечатени од образецот во A03 §2 (код и верзија запишани), примероците залепени во §3; 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Labels printed from the template in A03 §2 (code and version recorded), specimens affixed in §3; pallet labels on two sides, checked against the lists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§2–3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температура: ☐ активна — поставена и предкондиционирана ≥ 30 мин; ☐ пасивна — термо-ќебињата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control: ☐ active — set and pre-conditioned ≥ 30 min; ☐ passive — thermal blankets intact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со ретенциони мостри примен, лентата цела, бројот на мостри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carton received, tape intact, sample count matches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