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60"/>
        <w:jc w:val="center"/>
      </w:pPr>
      <w:r>
        <w:rPr>
          <w:rFonts w:ascii="Calibri" w:hAnsi="Calibri"/>
          <w:b/>
          <w:i w:val="0"/>
          <w:color w:val="2B547E"/>
          <w:sz w:val="24"/>
        </w:rPr>
        <w:t>QASOP_0XX_A04</w:t>
      </w:r>
    </w:p>
    <w:p>
      <w:pPr>
        <w:spacing w:before="0" w:after="60"/>
        <w:jc w:val="center"/>
      </w:pPr>
      <w:r>
        <w:rPr>
          <w:rFonts w:ascii="Calibri" w:hAnsi="Calibri"/>
          <w:b/>
          <w:i w:val="0"/>
          <w:color w:val="000000"/>
          <w:sz w:val="28"/>
        </w:rPr>
        <w:t>Запис за извршување на PQ пратка — PQ-1 = Т1 (пример)</w:t>
      </w:r>
      <w:r>
        <w:rPr>
          <w:rFonts w:ascii="Calibri" w:hAnsi="Calibri"/>
          <w:b w:val="0"/>
          <w:i w:val="0"/>
          <w:color w:val="595959"/>
          <w:sz w:val="20"/>
        </w:rPr>
        <w:t xml:space="preserve"> | </w:t>
      </w:r>
      <w:r>
        <w:rPr>
          <w:rFonts w:ascii="Calibri" w:hAnsi="Calibri"/>
          <w:b/>
          <w:i w:val="0"/>
          <w:color w:val="595959"/>
          <w:sz w:val="20"/>
        </w:rPr>
        <w:t>PQ Shipment Execution Record — PQ-1 = T1 (example)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595959"/>
          <w:sz w:val="20"/>
        </w:rPr>
        <w:t>(QASOP_0XX)</w:t>
      </w: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C00000"/>
          <w:sz w:val="18"/>
        </w:rPr>
        <w:t>РАБОТНА ВЕРЗИЈА — НЕ ЗА УПОТРЕБА | DRAFT — NOT FOR USE</w:t>
      </w:r>
      <w:r>
        <w:rPr>
          <w:rFonts w:ascii="Calibri" w:hAnsi="Calibri"/>
          <w:b w:val="0"/>
          <w:i w:val="0"/>
          <w:color w:val="595959"/>
          <w:sz w:val="16"/>
        </w:rPr>
        <w:t xml:space="preserve">   —   Верзија | Version: DRAFT   ·   Датум на важност | Effective date: —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ПРИМЕР / СИМУЛАЦИЈА — не е запис. Сите внесени податоци се во загради: сино — од нашите записи или пресметани; виолетово — пример, да се потврди; портокалово — се внесува на денот.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EXAMPLE / SIMULATION — not a record. Every entry is in brackets: blue — from our records or calculated; purple — example, to be confirmed; orange — entered on the day.</w:t>
      </w:r>
    </w:p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1 Идентификација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Identification</w:t>
      </w:r>
    </w:p>
    <w:p>
      <w:pPr>
        <w:keepNext/>
        <w:spacing w:before="0" w:after="0" w:lineRule="exact" w:line="4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109"/>
        <w:gridCol w:w="3192"/>
        <w:gridCol w:w="1973"/>
        <w:gridCol w:w="3192"/>
      </w:tblGrid>
      <w:tr>
        <w:trPr>
          <w:cantSplit/>
        </w:trPr>
        <w:tc>
          <w:tcPr>
            <w:shd w:val="clear" w:color="auto" w:fill="F2F2F2"/>
            <w:vAlign w:val="center"/>
            <w:tcW w:type="pct" w:w="10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Код на рутата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Lane code</w:t>
            </w:r>
          </w:p>
        </w:tc>
        <w:tc>
          <w:tcPr>
            <w:vAlign w:val="center"/>
            <w:tcW w:type="pct" w:w="152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[L01]</w:t>
            </w:r>
          </w:p>
        </w:tc>
        <w:tc>
          <w:tcPr>
            <w:shd w:val="clear" w:color="auto" w:fill="F2F2F2"/>
            <w:vAlign w:val="center"/>
            <w:tcW w:type="pct" w:w="94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Протокол бр.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Protocol No.</w:t>
            </w:r>
          </w:p>
        </w:tc>
        <w:tc>
          <w:tcPr>
            <w:vAlign w:val="center"/>
            <w:tcW w:type="pct" w:w="152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[TVP-L01-26]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837"/>
        <w:gridCol w:w="3056"/>
        <w:gridCol w:w="2517"/>
        <w:gridCol w:w="3056"/>
      </w:tblGrid>
      <w:tr>
        <w:trPr>
          <w:cantSplit/>
        </w:trPr>
        <w:tc>
          <w:tcPr>
            <w:shd w:val="clear" w:color="auto" w:fill="F2F2F2"/>
            <w:vAlign w:val="center"/>
            <w:tcW w:type="pct" w:w="87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PQ пратка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PQ shipment</w:t>
            </w:r>
          </w:p>
        </w:tc>
        <w:tc>
          <w:tcPr>
            <w:vAlign w:val="center"/>
            <w:tcW w:type="pct" w:w="14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☒ 1   ☐ 2   ☐ 3</w:t>
            </w:r>
          </w:p>
        </w:tc>
        <w:tc>
          <w:tcPr>
            <w:shd w:val="clear" w:color="auto" w:fill="F2F2F2"/>
            <w:vAlign w:val="center"/>
            <w:tcW w:type="pct" w:w="120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UTID (WHSOP_003)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UTID (WHSOP_003)</w:t>
            </w:r>
          </w:p>
        </w:tc>
        <w:tc>
          <w:tcPr>
            <w:vAlign w:val="center"/>
            <w:tcW w:type="pct" w:w="14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[TR-20261020-001]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20"/>
        <w:gridCol w:w="9446"/>
      </w:tblGrid>
      <w:tr>
        <w:trPr>
          <w:cantSplit/>
        </w:trPr>
        <w:tc>
          <w:tcPr>
            <w:shd w:val="clear" w:color="auto" w:fill="F2F2F2"/>
            <w:vAlign w:val="center"/>
            <w:tcW w:type="pct" w:w="48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Date</w:t>
            </w:r>
          </w:p>
        </w:tc>
        <w:tc>
          <w:tcPr>
            <w:vAlign w:val="center"/>
            <w:tcW w:type="pct" w:w="451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7030A0"/>
                <w:sz w:val="20"/>
              </w:rPr>
              <w:t xml:space="preserve">[20.10.2026]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156"/>
        <w:gridCol w:w="9310"/>
      </w:tblGrid>
      <w:tr>
        <w:trPr>
          <w:cantSplit/>
        </w:trPr>
        <w:tc>
          <w:tcPr>
            <w:shd w:val="clear" w:color="auto" w:fill="F2F2F2"/>
            <w:vAlign w:val="center"/>
            <w:tcW w:type="pct" w:w="55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Сезона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Season</w:t>
            </w:r>
          </w:p>
        </w:tc>
        <w:tc>
          <w:tcPr>
            <w:vAlign w:val="center"/>
            <w:tcW w:type="pct" w:w="44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7030A0"/>
                <w:sz w:val="20"/>
              </w:rPr>
              <w:t xml:space="preserve">[есен (октомври)</w:t>
            </w:r>
            <w:r>
              <w:rPr>
                <w:rFonts w:ascii="Calibri" w:hAnsi="Calibri"/>
                <w:b w:val="0"/>
                <w:i w:val="0"/>
                <w:color w:val="7030A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7030A0"/>
                <w:sz w:val="16"/>
              </w:rPr>
              <w:t xml:space="preserve">autumn (October)]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2534"/>
        <w:gridCol w:w="2109"/>
        <w:gridCol w:w="2534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Амбиент мин./макс. (°C)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Ambient min./max. (°C)</w:t>
            </w:r>
          </w:p>
        </w:tc>
        <w:tc>
          <w:tcPr>
            <w:vAlign w:val="center"/>
            <w:tcW w:type="pct" w:w="12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  <w:tc>
          <w:tcPr>
            <w:shd w:val="clear" w:color="auto" w:fill="F2F2F2"/>
            <w:vAlign w:val="center"/>
            <w:tcW w:type="pct" w:w="10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Палети G / M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Pallets L / S</w:t>
            </w:r>
          </w:p>
        </w:tc>
        <w:tc>
          <w:tcPr>
            <w:vAlign w:val="center"/>
            <w:tcW w:type="pct" w:w="12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[47 / 0]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789"/>
        <w:gridCol w:w="7677"/>
      </w:tblGrid>
      <w:tr>
        <w:trPr>
          <w:cantSplit/>
        </w:trPr>
        <w:tc>
          <w:tcPr>
            <w:shd w:val="clear" w:color="auto" w:fill="F2F2F2"/>
            <w:vAlign w:val="center"/>
            <w:tcW w:type="pct" w:w="133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Превозник / возило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Carrier / vehicle</w:t>
            </w:r>
          </w:p>
        </w:tc>
        <w:tc>
          <w:tcPr>
            <w:vAlign w:val="center"/>
            <w:tcW w:type="pct" w:w="36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7030A0"/>
                <w:sz w:val="20"/>
              </w:rPr>
              <w:t xml:space="preserve">[Kuehne + Nagel (предвиден)</w:t>
            </w:r>
            <w:r>
              <w:rPr>
                <w:rFonts w:ascii="Calibri" w:hAnsi="Calibri"/>
                <w:b w:val="0"/>
                <w:i w:val="0"/>
                <w:color w:val="7030A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7030A0"/>
                <w:sz w:val="16"/>
              </w:rPr>
              <w:t xml:space="preserve">Kuehne + Nagel (provisional)]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 xml:space="preserve"> · </w:t>
            </w:r>
            <w:r>
              <w:rPr>
                <w:rFonts w:ascii="Calibri" w:hAnsi="Calibri"/>
                <w:b w:val="0"/>
                <w:i/>
                <w:color w:val="0B5CAD"/>
                <w:sz w:val="16"/>
              </w:rPr>
              <w:t xml:space="preserve">[V1: P01–P24 (24); V2: P25–P47 (23)]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7178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Контрола на температура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Temperature control</w:t>
            </w:r>
          </w:p>
        </w:tc>
        <w:tc>
          <w:tcPr>
            <w:vAlign w:val="center"/>
            <w:tcW w:type="pct" w:w="34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☐ Активна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Active   ☐ Пасивна | Passive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7178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Полициско придружување потврдено (МВР бр.)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Police escort confirmed (MoIA No.)</w:t>
            </w:r>
          </w:p>
        </w:tc>
        <w:tc>
          <w:tcPr>
            <w:vAlign w:val="center"/>
            <w:tcW w:type="pct" w:w="34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</w:tr>
    </w:tbl>
    <w:p>
      <w:pPr>
        <w:keepNext w:val="0"/>
        <w:spacing w:before="0" w:after="0" w:lineRule="exact" w:line="12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623"/>
        <w:gridCol w:w="4467"/>
        <w:gridCol w:w="283"/>
        <w:gridCol w:w="623"/>
        <w:gridCol w:w="4467"/>
      </w:tblGrid>
      <w:tr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375623"/>
                <w:sz w:val="24"/>
              </w:rPr>
              <w:t>☒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375623"/>
                <w:sz w:val="24"/>
              </w:rPr>
              <w:t>Реален производ</w:t>
            </w:r>
            <w:r>
              <w:rPr>
                <w:rFonts w:ascii="Calibri" w:hAnsi="Calibri"/>
                <w:b w:val="0"/>
                <w:i w:val="0"/>
                <w:color w:val="375623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375623"/>
                <w:sz w:val="20"/>
              </w:rPr>
              <w:t>Real product</w:t>
            </w:r>
          </w:p>
        </w:tc>
        <w:tc>
          <w:tcPr>
            <w:vAlign w:val="center"/>
            <w:tcW w:type="pct" w:w="1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Симулиран товар (иста маса и конфигурација на палети)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Simulated load (same mass and pallet configuration)</w:t>
            </w:r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2 Логери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Loggers</w:t>
      </w:r>
    </w:p>
    <w:p>
      <w:pPr>
        <w:keepNext w:val="0"/>
        <w:spacing w:before="0" w:after="0" w:lineRule="exact" w:line="16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F2F2F2"/>
      </w:pPr>
      <w:r>
        <w:rPr>
          <w:rFonts w:ascii="Calibri" w:hAnsi="Calibri"/>
          <w:b/>
          <w:i w:val="0"/>
          <w:color w:val="2B547E"/>
          <w:sz w:val="20"/>
        </w:rPr>
        <w:t>2.1 USB логери</w:t>
      </w:r>
      <w:r>
        <w:rPr>
          <w:rFonts w:ascii="Calibri" w:hAnsi="Calibri"/>
          <w:b w:val="0"/>
          <w:i w:val="0"/>
          <w:color w:val="2B547E"/>
          <w:sz w:val="16"/>
        </w:rPr>
        <w:t xml:space="preserve"> | </w:t>
      </w:r>
      <w:r>
        <w:rPr>
          <w:rFonts w:ascii="Calibri" w:hAnsi="Calibri"/>
          <w:b w:val="0"/>
          <w:i w:val="0"/>
          <w:color w:val="2B547E"/>
          <w:sz w:val="16"/>
        </w:rPr>
        <w:t>USB loggers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41"/>
        <w:gridCol w:w="1290"/>
        <w:gridCol w:w="1849"/>
        <w:gridCol w:w="637"/>
        <w:gridCol w:w="737"/>
        <w:gridCol w:w="637"/>
        <w:gridCol w:w="745"/>
        <w:gridCol w:w="1727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284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Position</w:t>
            </w:r>
          </w:p>
        </w:tc>
        <w:tc>
          <w:tcPr>
            <w:shd w:val="clear" w:color="auto" w:fill="2B547E"/>
            <w:vAlign w:val="center"/>
            <w:tcW w:type="dxa" w:w="129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Сериски број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Serial No.</w:t>
            </w:r>
          </w:p>
        </w:tc>
        <w:tc>
          <w:tcPr>
            <w:shd w:val="clear" w:color="auto" w:fill="2B547E"/>
            <w:vAlign w:val="center"/>
            <w:tcW w:type="dxa" w:w="184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Калибрација важи до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Calibration due</w:t>
            </w:r>
          </w:p>
        </w:tc>
        <w:tc>
          <w:tcPr>
            <w:shd w:val="clear" w:color="auto" w:fill="2B547E"/>
            <w:vAlign w:val="center"/>
            <w:tcW w:type="dxa" w:w="63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Мин. (°C)</w:t>
            </w:r>
          </w:p>
        </w:tc>
        <w:tc>
          <w:tcPr>
            <w:shd w:val="clear" w:color="auto" w:fill="2B547E"/>
            <w:vAlign w:val="center"/>
            <w:tcW w:type="dxa" w:w="73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Макс. (°C)</w:t>
            </w:r>
          </w:p>
        </w:tc>
        <w:tc>
          <w:tcPr>
            <w:shd w:val="clear" w:color="auto" w:fill="2B547E"/>
            <w:vAlign w:val="center"/>
            <w:tcW w:type="dxa" w:w="63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MKT (°C)</w:t>
            </w:r>
          </w:p>
        </w:tc>
        <w:tc>
          <w:tcPr>
            <w:shd w:val="clear" w:color="auto" w:fill="2B547E"/>
            <w:vAlign w:val="center"/>
            <w:tcW w:type="dxa" w:w="74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Макс. RH (%)</w:t>
            </w:r>
          </w:p>
        </w:tc>
        <w:tc>
          <w:tcPr>
            <w:shd w:val="clear" w:color="auto" w:fill="2B547E"/>
            <w:vAlign w:val="center"/>
            <w:tcW w:type="dxa" w:w="172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Време надвор (мин)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Time out (min)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84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Жешка точка од OQ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OQ hot spot</w:t>
            </w:r>
          </w:p>
        </w:tc>
        <w:tc>
          <w:tcPr>
            <w:vAlign w:val="center"/>
            <w:tcW w:type="dxa" w:w="129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84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63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3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63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4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72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84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Студена точка од OQ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OQ cold spot</w:t>
            </w:r>
          </w:p>
        </w:tc>
        <w:tc>
          <w:tcPr>
            <w:shd w:val="clear" w:color="auto" w:fill="F7FAFC"/>
            <w:vAlign w:val="center"/>
            <w:tcW w:type="dxa" w:w="129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84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63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63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4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72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8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Амбиент (надвор)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Ambient (outside)</w:t>
            </w:r>
          </w:p>
        </w:tc>
        <w:tc>
          <w:tcPr>
            <w:vAlign w:val="center"/>
            <w:tcW w:type="dxa" w:w="129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84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6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6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7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</w:tbl>
    <w:p>
      <w:pPr>
        <w:keepNext w:val="0"/>
        <w:spacing w:before="0" w:after="0" w:lineRule="exact" w:line="16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F2F2F2"/>
      </w:pPr>
      <w:r>
        <w:rPr>
          <w:rFonts w:ascii="Calibri" w:hAnsi="Calibri"/>
          <w:b/>
          <w:i w:val="0"/>
          <w:color w:val="2B547E"/>
          <w:sz w:val="20"/>
        </w:rPr>
        <w:t>2.2 Логери за еднократна употреба во палетите</w:t>
      </w:r>
      <w:r>
        <w:rPr>
          <w:rFonts w:ascii="Calibri" w:hAnsi="Calibri"/>
          <w:b w:val="0"/>
          <w:i w:val="0"/>
          <w:color w:val="2B547E"/>
          <w:sz w:val="16"/>
        </w:rPr>
        <w:t xml:space="preserve"> | </w:t>
      </w:r>
      <w:r>
        <w:rPr>
          <w:rFonts w:ascii="Calibri" w:hAnsi="Calibri"/>
          <w:b w:val="0"/>
          <w:i w:val="0"/>
          <w:color w:val="2B547E"/>
          <w:sz w:val="16"/>
        </w:rPr>
        <w:t>Single-use loggers in the pallets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025"/>
        <w:gridCol w:w="784"/>
        <w:gridCol w:w="1022"/>
        <w:gridCol w:w="1521"/>
        <w:gridCol w:w="1022"/>
        <w:gridCol w:w="1521"/>
        <w:gridCol w:w="850"/>
        <w:gridCol w:w="718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302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 на палета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Pallet ID</w:t>
            </w:r>
          </w:p>
        </w:tc>
        <w:tc>
          <w:tcPr>
            <w:shd w:val="clear" w:color="auto" w:fill="2B547E"/>
            <w:vAlign w:val="center"/>
            <w:tcW w:type="dxa" w:w="78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Тип G/M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Type L/S</w:t>
            </w:r>
          </w:p>
        </w:tc>
        <w:tc>
          <w:tcPr>
            <w:shd w:val="clear" w:color="auto" w:fill="2B547E"/>
            <w:vAlign w:val="center"/>
            <w:tcW w:type="dxa" w:w="102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Е1 сер. бр.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E1 serial</w:t>
            </w:r>
          </w:p>
        </w:tc>
        <w:tc>
          <w:tcPr>
            <w:shd w:val="clear" w:color="auto" w:fill="2B547E"/>
            <w:vAlign w:val="center"/>
            <w:tcW w:type="dxa" w:w="152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Е1 мин./макс. (°C)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E1 min./max. (°C)</w:t>
            </w:r>
          </w:p>
        </w:tc>
        <w:tc>
          <w:tcPr>
            <w:shd w:val="clear" w:color="auto" w:fill="2B547E"/>
            <w:vAlign w:val="center"/>
            <w:tcW w:type="dxa" w:w="102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Е2 сер. бр.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E2 serial</w:t>
            </w:r>
          </w:p>
        </w:tc>
        <w:tc>
          <w:tcPr>
            <w:shd w:val="clear" w:color="auto" w:fill="2B547E"/>
            <w:vAlign w:val="center"/>
            <w:tcW w:type="dxa" w:w="152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Е2 мин./макс. (°C)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E2 min./max. (°C)</w:t>
            </w:r>
          </w:p>
        </w:tc>
        <w:tc>
          <w:tcPr>
            <w:shd w:val="clear" w:color="auto" w:fill="2B547E"/>
            <w:vAlign w:val="center"/>
            <w:tcW w:type="dxa" w:w="85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Аларм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Alarm</w:t>
            </w:r>
          </w:p>
        </w:tc>
        <w:tc>
          <w:tcPr>
            <w:shd w:val="clear" w:color="auto" w:fill="2B547E"/>
            <w:vAlign w:val="center"/>
            <w:tcW w:type="dxa" w:w="71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MKT (°C)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[TR-20261020-001-P01 (V1)]</w:t>
            </w:r>
          </w:p>
        </w:tc>
        <w:tc>
          <w:tcPr>
            <w:vAlign w:val="center"/>
            <w:tcW w:type="dxa" w:w="78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[TR-20261020-001-P02 (V1)]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[TR-20261020-001-P03 (V1)]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[TR-20261020-001-P04 (V1)]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[TR-20261020-001-P05 (V1)]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[TR-20261020-001-P06 (V1)]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[TR-20261020-001-P07 (V1)]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[TR-20261020-001-P08 (V1)]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[TR-20261020-001-P09 (V1)]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[TR-20261020-001-P10 (V1)]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[TR-20261020-001-P11 (V1)]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[TR-20261020-001-P12 (V1)]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[TR-20261020-001-P13 (V1)]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[TR-20261020-001-P14 (V1)]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[TR-20261020-001-P15 (V1)]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[TR-20261020-001-P16 (V1)]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[TR-20261020-001-P17 (V1)]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[TR-20261020-001-P18 (V1)]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[TR-20261020-001-P19 (V1)]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[TR-20261020-001-P20 (V1)]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[TR-20261020-001-P21 (V1)]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[TR-20261020-001-P22 (V1)]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[TR-20261020-001-P23 (V1)]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[TR-20261020-001-P24 (V1)]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[TR-20261020-001-P25 (V2)]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[TR-20261020-001-P26 (V2)]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[TR-20261020-001-P27 (V2)]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[TR-20261020-001-P28 (V2)]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[TR-20261020-001-P29 (V2)]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[TR-20261020-001-P30 (V2)]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[TR-20261020-001-P31 (V2)]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[TR-20261020-001-P32 (V2)]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[TR-20261020-001-P33 (V2)]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[TR-20261020-001-P34 (V2)]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[TR-20261020-001-P35 (V2)]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[TR-20261020-001-P36 (V2)]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[TR-20261020-001-P37 (V2)]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[TR-20261020-001-P38 (V2)]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[TR-20261020-001-P39 (V2)]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[TR-20261020-001-P40 (V2)]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[TR-20261020-001-P41 (V2)]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[TR-20261020-001-P42 (V2)]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[TR-20261020-001-P43 (V2)]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[TR-20261020-001-P44 (V2)]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[TR-20261020-001-P45 (V2)]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[TR-20261020-001-P46 (V2)]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[TR-20261020-001-P47 (V2)]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3 Тек на пратката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Shipment timeline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506"/>
        <w:gridCol w:w="2056"/>
        <w:gridCol w:w="2903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550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Настан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Event</w:t>
            </w:r>
          </w:p>
        </w:tc>
        <w:tc>
          <w:tcPr>
            <w:shd w:val="clear" w:color="auto" w:fill="2B547E"/>
            <w:vAlign w:val="center"/>
            <w:tcW w:type="dxa" w:w="205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Време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Time</w:t>
            </w:r>
          </w:p>
        </w:tc>
        <w:tc>
          <w:tcPr>
            <w:shd w:val="clear" w:color="auto" w:fill="2B547E"/>
            <w:vAlign w:val="center"/>
            <w:tcW w:type="dxa" w:w="290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Забелешка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Remark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50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Предкондиционирање почнато (само активна)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Pre-conditioning started (active only)</w:t>
            </w:r>
          </w:p>
        </w:tc>
        <w:tc>
          <w:tcPr>
            <w:vAlign w:val="center"/>
            <w:tcW w:type="dxa" w:w="205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90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50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Палетите завиткани, логерите активирани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Pallets wrapped, loggers started</w:t>
            </w:r>
          </w:p>
        </w:tc>
        <w:tc>
          <w:tcPr>
            <w:shd w:val="clear" w:color="auto" w:fill="F7FAFC"/>
            <w:vAlign w:val="center"/>
            <w:tcW w:type="dxa" w:w="205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90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5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Товарање завршено, вратата затворена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Loading complete, door closed</w:t>
            </w:r>
          </w:p>
        </w:tc>
        <w:tc>
          <w:tcPr>
            <w:vAlign w:val="center"/>
            <w:tcW w:type="dxa" w:w="20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9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5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Поаѓање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Departure</w:t>
            </w:r>
          </w:p>
        </w:tc>
        <w:tc>
          <w:tcPr>
            <w:shd w:val="clear" w:color="auto" w:fill="F7FAFC"/>
            <w:vAlign w:val="center"/>
            <w:tcW w:type="dxa" w:w="20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9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5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Застанувања (место, траење)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Stops (place, duration)</w:t>
            </w:r>
          </w:p>
        </w:tc>
        <w:tc>
          <w:tcPr>
            <w:vAlign w:val="center"/>
            <w:tcW w:type="dxa" w:w="20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9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5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Пристигнување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Arrival</w:t>
            </w:r>
          </w:p>
        </w:tc>
        <w:tc>
          <w:tcPr>
            <w:shd w:val="clear" w:color="auto" w:fill="F7FAFC"/>
            <w:vAlign w:val="center"/>
            <w:tcW w:type="dxa" w:w="20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9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5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Отворање и истовар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Opening and unloading</w:t>
            </w:r>
          </w:p>
        </w:tc>
        <w:tc>
          <w:tcPr>
            <w:vAlign w:val="center"/>
            <w:tcW w:type="dxa" w:w="20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9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5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Вкупно времетраење (h:min)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Total duration (h:min)</w:t>
            </w:r>
          </w:p>
        </w:tc>
        <w:tc>
          <w:tcPr>
            <w:shd w:val="clear" w:color="auto" w:fill="F7FAFC"/>
            <w:vAlign w:val="center"/>
            <w:tcW w:type="dxa" w:w="20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9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4 Критериуми за прифаќање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Acceptance criteria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610"/>
        <w:gridCol w:w="4889"/>
        <w:gridCol w:w="2443"/>
        <w:gridCol w:w="1315"/>
        <w:gridCol w:w="1207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6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4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Критериум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Criterion</w:t>
            </w:r>
          </w:p>
        </w:tc>
        <w:tc>
          <w:tcPr>
            <w:shd w:val="clear" w:color="auto" w:fill="2B547E"/>
            <w:vAlign w:val="center"/>
            <w:tcW w:type="dxa" w:w="244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Резултат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Result</w:t>
            </w:r>
          </w:p>
        </w:tc>
        <w:tc>
          <w:tcPr>
            <w:shd w:val="clear" w:color="auto" w:fill="2B547E"/>
            <w:vAlign w:val="center"/>
            <w:tcW w:type="dxa" w:w="131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Yes</w:t>
            </w:r>
          </w:p>
        </w:tc>
        <w:tc>
          <w:tcPr>
            <w:shd w:val="clear" w:color="auto" w:fill="2B547E"/>
            <w:vAlign w:val="center"/>
            <w:tcW w:type="dxa" w:w="120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No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type="dxa" w:w="4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Сите логери во палетите во опсег во текот на целото патување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All pallet loggers within range throughout the journey</w:t>
            </w:r>
          </w:p>
        </w:tc>
        <w:tc>
          <w:tcPr>
            <w:vAlign w:val="center"/>
            <w:tcW w:type="dxa" w:w="244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31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20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4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MKT во опсег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MKT within range</w:t>
            </w:r>
          </w:p>
        </w:tc>
        <w:tc>
          <w:tcPr>
            <w:shd w:val="clear" w:color="auto" w:fill="F7FAFC"/>
            <w:vAlign w:val="center"/>
            <w:tcW w:type="dxa" w:w="244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31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20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vAlign w:val="center"/>
            <w:tcW w:type="dxa" w:w="4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Макс. RH ≤ 60 % (каде е применливо)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Max. RH ≤ 60 % (where applicable)</w:t>
            </w:r>
          </w:p>
        </w:tc>
        <w:tc>
          <w:tcPr>
            <w:vAlign w:val="center"/>
            <w:tcW w:type="dxa" w:w="244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3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2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shd w:val="clear" w:color="auto" w:fill="F7FAFC"/>
            <w:vAlign w:val="center"/>
            <w:tcW w:type="dxa" w:w="4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Времетраење ≤ квалификуваното максимално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Duration ≤ qualified maximum</w:t>
            </w:r>
          </w:p>
        </w:tc>
        <w:tc>
          <w:tcPr>
            <w:shd w:val="clear" w:color="auto" w:fill="F7FAFC"/>
            <w:vAlign w:val="center"/>
            <w:tcW w:type="dxa" w:w="244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3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2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vAlign w:val="center"/>
            <w:tcW w:type="dxa" w:w="4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Пломбите, лентите и завиткувањето цели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Seals, tapes and wrapping intact</w:t>
            </w:r>
          </w:p>
        </w:tc>
        <w:tc>
          <w:tcPr>
            <w:vAlign w:val="center"/>
            <w:tcW w:type="dxa" w:w="244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3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2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shd w:val="clear" w:color="auto" w:fill="F7FAFC"/>
            <w:vAlign w:val="center"/>
            <w:tcW w:type="dxa" w:w="4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Ланецот на надзор (WHSOP_003_A04) комплетен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Chain of custody (WHSOP_003_A04) complete</w:t>
            </w:r>
          </w:p>
        </w:tc>
        <w:tc>
          <w:tcPr>
            <w:shd w:val="clear" w:color="auto" w:fill="F7FAFC"/>
            <w:vAlign w:val="center"/>
            <w:tcW w:type="dxa" w:w="244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3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2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vAlign w:val="center"/>
            <w:tcW w:type="dxa" w:w="4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Пакувањето без оштетување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Packaging undamaged</w:t>
            </w:r>
          </w:p>
        </w:tc>
        <w:tc>
          <w:tcPr>
            <w:vAlign w:val="center"/>
            <w:tcW w:type="dxa" w:w="244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3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2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4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Контролните јавувања ја потврдуваат одобрената рута; придружувањето присутно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Check-in calls confirm the approved route; escort present</w:t>
            </w:r>
          </w:p>
        </w:tc>
        <w:tc>
          <w:tcPr>
            <w:shd w:val="clear" w:color="auto" w:fill="F7FAFC"/>
            <w:vAlign w:val="center"/>
            <w:tcW w:type="dxa" w:w="244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3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2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476"/>
        <w:gridCol w:w="6989"/>
      </w:tblGrid>
      <w:tr>
        <w:trPr>
          <w:cantSplit/>
        </w:trPr>
        <w:tc>
          <w:tcPr>
            <w:shd w:val="clear" w:color="auto" w:fill="F2F2F2"/>
            <w:vAlign w:val="center"/>
            <w:tcW w:type="dxa" w:w="347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Отстапувања (број и опис)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Deviations (No. and description)</w:t>
            </w:r>
          </w:p>
        </w:tc>
        <w:tc>
          <w:tcPr>
            <w:vAlign w:val="center"/>
            <w:tcW w:type="dxa" w:w="69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</w:tr>
    </w:tbl>
    <w:p>
      <w:pPr>
        <w:keepNext w:val="0"/>
        <w:spacing w:before="0" w:after="0" w:lineRule="exact" w:line="12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623"/>
        <w:gridCol w:w="4467"/>
        <w:gridCol w:w="283"/>
        <w:gridCol w:w="623"/>
        <w:gridCol w:w="4467"/>
      </w:tblGrid>
      <w:tr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Ги исполнува критериумите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Meets the criteria</w:t>
            </w:r>
          </w:p>
        </w:tc>
        <w:tc>
          <w:tcPr>
            <w:vAlign w:val="center"/>
            <w:tcW w:type="pct" w:w="1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Не ги исполнува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Does not meet the criteria</w:t>
            </w:r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5 Потписи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Signatures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889"/>
        <w:gridCol w:w="2948"/>
        <w:gridCol w:w="1474"/>
        <w:gridCol w:w="2154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Извршил и внел податоци (тим за валидација)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Executed and entered data (validation team)</w:t>
            </w:r>
          </w:p>
        </w:tc>
        <w:tc>
          <w:tcPr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Проверил податоците (второ лице)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Verified the data (second person)</w:t>
            </w:r>
          </w:p>
        </w:tc>
        <w:tc>
          <w:tcPr>
            <w:shd w:val="clear" w:color="auto" w:fill="F7FAFC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Прегледал (QA)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Reviewed (QA)</w:t>
            </w:r>
          </w:p>
        </w:tc>
        <w:tc>
          <w:tcPr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</w:tbl>
    <w:sectPr w:rsidR="00433AE1" w:rsidRPr="00E10D5A" w:rsidSect="00522430">
      <w:headerReference w:type="default" r:id="rId7"/>
      <w:footerReference w:type="default" r:id="rId8"/>
      <w:pgSz w:w="11906" w:h="16838" w:code="9"/>
      <w:pgMar w:top="540" w:right="720" w:bottom="630" w:left="720" w:header="56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  <w:vAlign w:val="center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Запис за извршување на PQ пратка — PQ-1 = Т1 (пример)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</w:r>
          <w:r w:rsidR="002325F2">
            <w:rPr>
              <w:rFonts w:ascii="Arial Narrow" w:hAnsi="Arial Narrow" w:cs="Arial Narrow"/>
              <w:sz w:val="24"/>
              <w:szCs w:val="24"/>
            </w:rPr>
          </w:r>
          <w:r w:rsidRPr="002325F2">
            <w:rPr>
              <w:rFonts w:ascii="Arial Narrow" w:hAnsi="Arial Narrow" w:cs="Arial Narrow"/>
            </w:rPr>
            <w:t>PQ Shipment Execution Record — PQ-1 = T1 (example)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19"/>
              <w:szCs w:val="24"/>
            </w:rPr>
            <w:t>QASOP_0XX_A04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DRAFT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