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потенција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на сертификати (77 серии, 20 сорти)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certificate-register results (77 batches, 20 strains)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— и врз нив предлага нови опсези по класи (номинала ± толеранција) за залихата од Траншите 1, 2 и 3. | This study brings every Total Δ⁹-THC result ever tested into one place — 99 certificate-register results (77 batches, 20 strains) — and proposes new grade ranges (nominal ± tolerance) for the Tranche 1/2/3 stock on top of them.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present. | Corpus compiled from the eCoA register and live-verified against the Letta knowledgebase: 4,134 passages scanned live (ImB_QC_COAs); 176 unique Total-THC lines; all 99 register values present.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96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Бр. тестирани резултати | Number of results tested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на тестираните резултати | Range of tested results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14.83% – 26.32%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21.80% – 26.14%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 – 25.27%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 – 25.01%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 – 24.96%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14.97% – 22.43%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 – 22.11%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 – 21.92%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12.39% – 20.83%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13.93% – 20.54%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 – 20.03%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 – 18.98%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 – 18.67%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13.35% – 17.67%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 – 17.04%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 – 16.93%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 – 14.06%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 – 11.53%</w:t>
            </w:r>
          </w:p>
        </w:tc>
      </w:tr>
      <w:tr>
        <w:tc>
          <w:tcPr>
            <w:tcW w:type="dxa" w:w="396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 – 11.20%</w:t>
            </w:r>
          </w:p>
        </w:tc>
      </w:tr>
      <w:tr>
        <w:tc>
          <w:tcPr>
            <w:tcW w:type="dxa" w:w="396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 – 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Ова е опсегот на СИТЕ некогаш тестирани резултати за сортата — не е предложениот опсег на потенција по класа (тој е даден подолу, во Поглавје 4, по Pot.- класи). Резултатите вклучуваат и повторени мерења на исти серии: бројката ја опишува популацијата на ТЕСТИРАНИ РЕЗУЛТАТИ, не независни серии. | This is the range of ALL results ever tested for the strain — not the proposed potency grade range (given below, in Chapter 4, per Pot.- tier). Results include repeat measurements of the same batches: the count describes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Оска 0,00%–30,00% Вкупен Δ⁹-THC; секој резултат носи зона од ±1,50% (сините појаси — натрупувањето е визуелна густина); крива на дистрибуција за n≥3 (само облик — без збирни статистики); предложени класи Pot.-x (зелено, целосна висина); старите стандардни граници (испрекинато). | 0.00%–30.00% axis; each result carries a ±1.50% zone (blue bands — stacking is visual density); distribution curve for n≥3 (shape only — no summary statistics); proposed Pot.-x tiers (green, full height); old standard boundaries (dashed).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23.40% – 28.60%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18.20% – 21.80%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2.19%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21.81% – 26.19%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BSS1024_01/1, BSS1024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23.42%, 25.01%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14.80% – 17.20%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17.21% – 20.79%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18.29%, 18.91%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20.80% – 25.20%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CJ062501/1, CJ092501, CJ1024, CJ072501, CJ052501/01, CJ082501/1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21.51%, 22.30%, 23.00%, 23.70%, 24.05%, 24.96%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0.64%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11.36% – 12.64%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1.35%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12.65% – 15.35%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1.64%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15.36% – 18.64%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7.20% – 8.80%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13.65% – 16.35%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1.64%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16.36% – 19.64%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FB112501, FB012603V, FB012602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16.69%, 18.29%, 18.86%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19.65% – 22.35%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1.30%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12.70% – 15.30%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15.31% – 18.69%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GG012601, GG1024_02, GG012603, GG112501, GG1024_01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15.35%, 15.95%, 16.70%, 17.94%,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15.65% – 18.35%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1.64%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18.36% – 21.64%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GP052501, GP072501/2, GP082501/1, GP072501/1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18.52%, 19.81%, 21.29%, 21.36%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21.65% – 26.35%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GP0824_02, GP062501, GP0824_03, GP092501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22.61%, 24.89%, 25.45%, 25.73%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6.30% – 7.70%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10.80% – 13.20%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7.70%–10.80%: ниту еден тестиран резултат на оваа сорта не паѓа во оваа зона, и ниту еден цел број не може да ги премости соседните класи во рамки на 10,00%-ограничувањето — резултат тука би побарал индивидуална ОК проценка. | No established grade 7.70%–10.80%: no tested result of this strain falls in this zone, and no whole number can bridge the neighbouring tiers within the 10.00%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16.65% – 19.35%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1.64%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19.36% – 22.64%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HPA052501, HPA1024_01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20.39%, 21.61%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1.27%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14.73% – 17.27%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15.16%, 16.71%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1.72%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17.28% – 20.72%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18.16%, 20.32%, 20.54%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1.35%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16.65% – 19.35%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1.64%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19.36% – 22.64%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J31112501, J31122501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20.21%, 21.84%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15.30% – 18.70%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16.82%, 18.67%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0.33%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7.67% – 8.33%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7.91%, 8.00%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0.66%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8.34% – 9.66%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0.90%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14.10% – 15.90%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14.16%, 15.38%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1.09%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15.91% – 18.09%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OPM1024_03, OPM1024_02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16.55%, 18.04%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18.10% – 21.90%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8A2E2E"/>
          <w:sz w:val="16"/>
          <w:spacing w:val="0"/>
          <w:kern w:val="0"/>
        </w:rPr>
        <w:t>НЕМА КЛАСА | NO GRADE — Нема воспоставена класа 9.66%–14.10%: ниту еден тестиран резултат на оваа сорта не паѓа во оваа зона, и ниту еден цел број не може да ги премости соседните класи во рамки на 10,00%-ограничувањето — резултат тука би побарал индивидуална ОК проценка. | No established grade 9.66%–14.10%: no tested result of this strain falls in this zone, and no whole number can bridge the neighbouring tiers within the 10.00% cap — a result here would require individual QC assessment.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1.05%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9.95% – 12.05%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0.94%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12.06% – 13.94%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PM092501, PM112501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12.25%, 13.33%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16.21% – 19.79%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17.13%, 17.84%, 18.07%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8.10% – 9.90%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9.20%</w:t>
            </w:r>
          </w:p>
        </w:tc>
      </w:tr>
      <w:tr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1.09%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9.91% – 12.09%</w:t>
            </w:r>
          </w:p>
        </w:tc>
        <w:tc>
          <w:tcPr>
            <w:tcW w:type="dxa" w:w="36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SJ092501, SJ102501</w:t>
            </w:r>
          </w:p>
        </w:tc>
        <w:tc>
          <w:tcPr>
            <w:tcW w:type="dxa" w:w="226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10.96%, 11.20%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4.20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= Опсег | = Range</w:t>
            </w:r>
          </w:p>
        </w:tc>
        <w:tc>
          <w:tcPr>
            <w:tcW w:type="dxa" w:w="36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26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</w:t>
            </w:r>
          </w:p>
        </w:tc>
      </w:tr>
      <w:tr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19.80% – 24.20%</w:t>
            </w:r>
          </w:p>
        </w:tc>
        <w:tc>
          <w:tcPr>
            <w:tcW w:type="dxa" w:w="36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26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21.67%, 22.11%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Толеранцијата е на целосните 10,00% од номиналата секогаш кога тоа е возможно, а се намалува само толку колку што е потребно за точно да ја допре соседната класа (без празен простор меѓу нив) — затоа две класи од иста сорта може да носат различен ± процент, по дизајн. Класите никогаш не се преклопуваат. | Tolerance is at the full 10.00% of the nominal whenever the data allows it, and shrinks only as far as needed to meet the neighbouring tier exactly (no blind gap between them) — that is why two tiers of the same strain can carry a different ± percentage, by design. Tiers never overlap.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 надолу = растојание од сидрото до долната граница на класата. | Anchor = latest verified result; where no certificate exists the declared value is the basis (flagged). Downward headroom = distance from the anchor to the grade floor.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Номинала ± толер. | Nominal ± tol.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26.00% ± 2.60%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2.19%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1.64%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1.72%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Pot.-5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1.09%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0.33%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0.94%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1.30%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4.16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0.64%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10.00% ± 1.00%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0.80%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1.35%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1.30%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1.45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3.80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4.08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12.00% ± 1.20%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1.64%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1.27%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1.72%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1.27%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0.43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1.52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0.90%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0.66%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1.09%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13.00% ± 0.94%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1.60%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0.92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1.09%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2.19%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1.61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16.00% ± 1.20%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0.13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14.00% ± 1.35%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1.64%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0.64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1.69%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24.00% ± 2.35%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7.00% ± 0.70%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0.75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19.00% ± 1.72%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1.64%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0.85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21.00% ± 1.64%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17.00% ± 1.70%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3.37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15.00% ± 0.90%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8.00% ± 0.33%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1.05%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18.00% ± 1.79%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1.86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11.00% ± 1.09%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1.29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9.00% ± 0.90%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1.10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Pot.-1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22.00% ± 2.20%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0,00%–30,00%: резултати и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0.00%–30.00% axis: results and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ПОТЕНЦИЈА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