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33" w:hRule="auto" w:wrap="none" w:vAnchor="page" w:hAnchor="page" w:x="9734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49</w:t>
      </w:r>
    </w:p>
    <w:p>
      <w:pPr>
        <w:framePr w:w="1097" w:hRule="auto" w:wrap="none" w:vAnchor="page" w:hAnchor="page" w:x="9463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P060132</w:t>
      </w:r>
    </w:p>
    <w:p>
      <w:pPr>
        <w:framePr w:w="92" w:hRule="auto" w:wrap="none" w:vAnchor="page" w:hAnchor="page" w:x="2182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696" w:hRule="auto" w:wrap="none" w:vAnchor="page" w:hAnchor="page" w:x="2364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CHEM F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LYER</w:t>
      </w:r>
    </w:p>
    <w:p>
      <w:pPr>
        <w:framePr w:w="1416" w:hRule="auto" w:wrap="none" w:vAnchor="page" w:hAnchor="page" w:x="5204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9.83 %</w:t>
      </w:r>
    </w:p>
    <w:p>
      <w:pPr>
        <w:framePr w:w="984" w:hRule="auto" w:wrap="none" w:vAnchor="page" w:hAnchor="page" w:x="576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15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1915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283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283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721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721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249" w:hRule="auto" w:wrap="none" w:vAnchor="page" w:hAnchor="page" w:x="7398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THC</w:t>
      </w:r>
    </w:p>
    <w:p>
      <w:pPr>
        <w:framePr w:w="249" w:hRule="auto" w:wrap="none" w:vAnchor="page" w:hAnchor="page" w:x="7398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THC</w:t>
      </w:r>
    </w:p>
    <w:p>
      <w:pPr>
        <w:framePr w:w="249" w:hRule="auto" w:wrap="none" w:vAnchor="page" w:hAnchor="page" w:x="8074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074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199" w:hRule="auto" w:wrap="none" w:vAnchor="page" w:hAnchor="page" w:x="1702" w:y="354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CF_THC1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0:CBD1</w:t>
      </w:r>
    </w:p>
    <w:p>
      <w:pPr>
        <w:framePr w:w="671" w:hRule="auto" w:wrap="none" w:vAnchor="page" w:hAnchor="page" w:x="4444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444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155" w:y="347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0.00%</w:t>
      </w:r>
    </w:p>
    <w:p>
      <w:pPr>
        <w:framePr w:w="625" w:hRule="auto" w:wrap="none" w:vAnchor="page" w:hAnchor="page" w:x="5800" w:y="349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.00%</w:t>
      </w:r>
    </w:p>
    <w:p>
      <w:pPr>
        <w:framePr w:w="1291" w:hRule="auto" w:wrap="none" w:vAnchor="page" w:hAnchor="page" w:x="5155" w:y="368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(9.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00 – 10.99 %)</w:t>
      </w:r>
    </w:p>
    <w:p>
      <w:pPr>
        <w:framePr w:w="1869" w:hRule="auto" w:wrap="none" w:vAnchor="page" w:hAnchor="page" w:x="7990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90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468" w:hRule="auto" w:wrap="none" w:vAnchor="page" w:hAnchor="page" w:x="9898" w:y="355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1_CF-I_v.01</w:t>
      </w:r>
    </w:p>
    <w:p>
      <w:pPr>
        <w:framePr w:w="1435" w:hRule="auto" w:wrap="none" w:vAnchor="page" w:hAnchor="page" w:x="57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9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99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132</w:t>
      </w:r>
    </w:p>
    <w:p>
      <w:pPr>
        <w:framePr w:w="1454" w:hRule="auto" w:wrap="none" w:vAnchor="page" w:hAnchor="page" w:x="3109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109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594" w:hRule="auto" w:wrap="none" w:vAnchor="page" w:hAnchor="page" w:x="4602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1.2026</w:t>
      </w:r>
    </w:p>
    <w:p>
      <w:pPr>
        <w:framePr w:w="1208" w:hRule="auto" w:wrap="none" w:vAnchor="page" w:hAnchor="page" w:x="54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4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594" w:hRule="auto" w:wrap="none" w:vAnchor="page" w:hAnchor="page" w:x="6702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2.2026</w:t>
      </w:r>
    </w:p>
    <w:p>
      <w:pPr>
        <w:framePr w:w="1147" w:hRule="auto" w:wrap="none" w:vAnchor="page" w:hAnchor="page" w:x="75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9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9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40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316" w:hRule="auto" w:wrap="none" w:vAnchor="page" w:hAnchor="page" w:x="2148" w:y="44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B91C1C"/>
          <w:kern w:val="0"/>
          <w:sz w:val="12"/>
          <w:szCs w:val="12"/>
        </w:rPr>
        <w:t>[ — ]</w:t>
      </w:r>
    </w:p>
    <w:p>
      <w:pPr>
        <w:framePr w:w="1005" w:hRule="auto" w:wrap="none" w:vAnchor="page" w:hAnchor="page" w:x="6058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7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8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0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1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2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2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3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36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5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51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4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04" w:hRule="auto" w:wrap="none" w:vAnchor="page" w:hAnchor="page" w:x="10866" w:y="65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9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.83 %</w:t>
      </w:r>
    </w:p>
    <w:p>
      <w:pPr>
        <w:framePr w:w="115" w:hRule="auto" w:wrap="none" w:vAnchor="page" w:hAnchor="page" w:x="576" w:y="67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8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8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7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8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7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7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7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7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71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7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2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3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3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2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4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5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5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5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6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5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427" w:hRule="auto" w:wrap="none" w:vAnchor="page" w:hAnchor="page" w:x="10943" w:y="7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5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.6 %</w:t>
      </w:r>
    </w:p>
    <w:p>
      <w:pPr>
        <w:framePr w:w="115" w:hRule="auto" w:wrap="none" w:vAnchor="page" w:hAnchor="page" w:x="576" w:y="77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7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7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9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9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9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564" w:hRule="auto" w:wrap="none" w:vAnchor="page" w:hAnchor="page" w:x="10351" w:y="791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3.1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× 10</w:t>
      </w:r>
    </w:p>
    <w:p>
      <w:pPr>
        <w:framePr w:w="434" w:hRule="auto" w:wrap="none" w:vAnchor="page" w:hAnchor="page" w:x="10938" w:y="791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 xml:space="preserve"> CFU/g</w:t>
      </w:r>
    </w:p>
    <w:p>
      <w:pPr>
        <w:framePr w:w="400" w:hRule="auto" w:wrap="none" w:vAnchor="page" w:hAnchor="page" w:x="1182" w:y="80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8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80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564" w:hRule="auto" w:wrap="none" w:vAnchor="page" w:hAnchor="page" w:x="10351" w:y="806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3.9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× 10</w:t>
      </w:r>
    </w:p>
    <w:p>
      <w:pPr>
        <w:framePr w:w="434" w:hRule="auto" w:wrap="none" w:vAnchor="page" w:hAnchor="page" w:x="10938" w:y="806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 xml:space="preserve"> CFU/g</w:t>
      </w:r>
    </w:p>
    <w:p>
      <w:pPr>
        <w:framePr w:w="1768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21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194" w:hRule="auto" w:wrap="none" w:vAnchor="page" w:hAnchor="page" w:x="10180" w:y="8233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5"/>
          <w:kern w:val="0"/>
          <w:sz w:val="10"/>
          <w:szCs w:val="10"/>
        </w:rPr>
        <w:t>&lt; 10³ and &gt; 1</w:t>
      </w:r>
      <w:r>
        <w:rPr>
          <w:rFonts w:ascii="Roboto Mono" w:hAnsi="Roboto Mono" w:cs="Roboto Mono" w:eastAsia="Roboto Mono"/>
          <w:b/>
          <w:i w:val="0"/>
          <w:color w:val="1B3A5C"/>
          <w:spacing w:val="-6"/>
          <w:kern w:val="0"/>
          <w:sz w:val="10"/>
          <w:szCs w:val="10"/>
        </w:rPr>
        <w:t>0² CFU/g</w:t>
      </w:r>
    </w:p>
    <w:p>
      <w:pPr>
        <w:framePr w:w="832" w:hRule="auto" w:wrap="none" w:vAnchor="page" w:hAnchor="page" w:x="1182" w:y="84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4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4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3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1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5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72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8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8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8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8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832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736" w:hRule="auto" w:wrap="none" w:vAnchor="page" w:hAnchor="page" w:x="10633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2.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 µg/kg</w:t>
      </w:r>
    </w:p>
    <w:p>
      <w:pPr>
        <w:framePr w:w="976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3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89" w:hRule="auto" w:wrap="none" w:vAnchor="page" w:hAnchor="page" w:x="576" w:y="94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4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14" w:hRule="auto" w:wrap="none" w:vAnchor="page" w:hAnchor="page" w:x="10556" w:y="9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07 mg/kg</w:t>
      </w:r>
    </w:p>
    <w:p>
      <w:pPr>
        <w:framePr w:w="976" w:hRule="auto" w:wrap="none" w:vAnchor="page" w:hAnchor="page" w:x="1182" w:y="97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7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7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9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9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9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968" w:hRule="auto" w:wrap="none" w:vAnchor="page" w:hAnchor="page" w:x="10401" w:y="99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942 mg/kg</w:t>
      </w:r>
    </w:p>
    <w:p>
      <w:pPr>
        <w:framePr w:w="976" w:hRule="auto" w:wrap="none" w:vAnchor="page" w:hAnchor="page" w:x="1182" w:y="100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100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100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10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2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2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2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7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79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A-PP_26-047 </w:t>
      </w:r>
    </w:p>
    <w:p>
      <w:pPr>
        <w:framePr w:w="524" w:hRule="auto" w:wrap="none" w:vAnchor="page" w:hAnchor="page" w:x="10845" w:y="118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3855" w:hRule="auto" w:wrap="none" w:vAnchor="page" w:hAnchor="page" w:x="576" w:y="120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19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33" w:hRule="auto" w:wrap="none" w:vAnchor="page" w:hAnchor="page" w:x="6105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73/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0116/26 </w:t>
      </w:r>
    </w:p>
    <w:p>
      <w:pPr>
        <w:framePr w:w="103" w:hRule="auto" w:wrap="none" w:vAnchor="page" w:hAnchor="page" w:x="7497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07" w:hRule="auto" w:wrap="none" w:vAnchor="page" w:hAnchor="page" w:x="7605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330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/2026 </w:t>
      </w:r>
    </w:p>
    <w:p>
      <w:pPr>
        <w:framePr w:w="940" w:hRule="auto" w:wrap="none" w:vAnchor="page" w:hAnchor="page" w:x="10430" w:y="121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9, 10, 11, 12</w:t>
      </w:r>
    </w:p>
    <w:p>
      <w:pPr>
        <w:framePr w:w="4777" w:hRule="auto" w:wrap="none" w:vAnchor="page" w:hAnchor="page" w:x="576" w:y="1236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Farmahem DOOEL — Laboratory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for Instrumental Analysis · ISO/IEC 17025:2017</w:t>
      </w:r>
    </w:p>
    <w:p>
      <w:pPr>
        <w:framePr w:w="3145" w:hRule="auto" w:wrap="none" w:vAnchor="page" w:hAnchor="page" w:x="57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Фармахем ДООЕЛ — Лаборатoрија за инструментална анал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иза </w:t>
      </w:r>
    </w:p>
    <w:p>
      <w:pPr>
        <w:framePr w:w="147" w:hRule="auto" w:wrap="none" w:vAnchor="page" w:hAnchor="page" w:x="3711" w:y="1248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4534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813" w:hRule="auto" w:wrap="none" w:vAnchor="page" w:hAnchor="page" w:x="460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sela Voda, 1000</w:t>
      </w:r>
    </w:p>
    <w:p>
      <w:pPr>
        <w:framePr w:w="537" w:hRule="auto" w:wrap="none" w:vAnchor="page" w:hAnchor="page" w:x="576" w:y="126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Skopje, MK</w:t>
      </w:r>
    </w:p>
    <w:p>
      <w:pPr>
        <w:framePr w:w="733" w:hRule="auto" w:wrap="none" w:vAnchor="page" w:hAnchor="page" w:x="6010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031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-4-К/26 </w:t>
      </w:r>
    </w:p>
    <w:p>
      <w:pPr>
        <w:framePr w:w="103" w:hRule="auto" w:wrap="none" w:vAnchor="page" w:hAnchor="page" w:x="7403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796" w:hRule="auto" w:wrap="none" w:vAnchor="page" w:hAnchor="page" w:x="7511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031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-4-ГС/26 </w:t>
      </w:r>
    </w:p>
    <w:p>
      <w:pPr>
        <w:framePr w:w="940" w:hRule="auto" w:wrap="none" w:vAnchor="page" w:hAnchor="page" w:x="10430" w:y="12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3, 4, 5, 6, 8</w:t>
      </w:r>
    </w:p>
    <w:p>
      <w:pPr>
        <w:framePr w:w="2295" w:hRule="auto" w:wrap="none" w:vAnchor="page" w:hAnchor="page" w:x="576" w:y="1355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5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70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600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0132</w:t>
      </w:r>
    </w:p>
    <w:p>
      <w:pPr>
        <w:framePr w:w="1870" w:hRule="auto" w:wrap="none" w:vAnchor="page" w:hAnchor="page" w:x="5130" w:y="1364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62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6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6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62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61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8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9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300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30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30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304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304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DCD1E704-6C48-4DFD-87BC-E6FEBE38731F}"/>
    <w:embedItalic r:id="rIdFont2" w:fontKey="{8D5F7FB0-0E25-4D66-AED6-391F38A64949}"/>
    <w:embedBold r:id="rIdFont3" w:fontKey="{9C4CCBBA-2955-4C36-AE2C-A11C021DEBC4}"/>
  </w:font>
  <w:font w:name="Montserrat ExtraBold">
    <w:charset w:val="00"/>
    <w:family w:val="auto"/>
    <w:pitch w:val="variable"/>
    <w:embedRegular r:id="rIdFont4" w:fontKey="{18989A34-A956-46CE-9FB2-75119C891BCD}"/>
  </w:font>
  <w:font w:name="Montserrat Medium">
    <w:charset w:val="00"/>
    <w:family w:val="auto"/>
    <w:pitch w:val="variable"/>
    <w:embedRegular r:id="rIdFont5" w:fontKey="{4A6350ED-5C97-4213-8F69-EB16D6031233}"/>
    <w:embedItalic r:id="rIdFont6" w:fontKey="{D7B4607B-D9EE-448C-9135-1BBE4578703B}"/>
  </w:font>
  <w:font w:name="Montserrat SemiBold">
    <w:charset w:val="00"/>
    <w:family w:val="auto"/>
    <w:pitch w:val="variable"/>
    <w:embedRegular r:id="rIdFont7" w:fontKey="{2A95E8EB-F88C-413A-B8E1-DC9C40FB17B5}"/>
    <w:embedItalic r:id="rIdFont8" w:fontKey="{5F8E17C2-AF4B-411A-839E-A75DBD06DE2F}"/>
  </w:font>
  <w:font w:name="Orbitron">
    <w:charset w:val="00"/>
    <w:family w:val="auto"/>
    <w:pitch w:val="variable"/>
    <w:embedBold r:id="rIdFont9" w:fontKey="{47B1E3FA-0134-460E-B1C1-55AB6BC5E75F}"/>
  </w:font>
  <w:font w:name="Orbitron Black">
    <w:charset w:val="00"/>
    <w:family w:val="auto"/>
    <w:pitch w:val="variable"/>
    <w:embedRegular r:id="rIdFont10" w:fontKey="{F6FAAFB0-3297-4D14-9923-40168E0B52CE}"/>
  </w:font>
  <w:font w:name="Orbitron ExtraBold">
    <w:charset w:val="00"/>
    <w:family w:val="auto"/>
    <w:pitch w:val="variable"/>
    <w:embedRegular r:id="rIdFont11" w:fontKey="{DB140994-ACCB-402A-B766-F831A6EAA11A}"/>
  </w:font>
  <w:font w:name="Orbitron Medium">
    <w:charset w:val="00"/>
    <w:family w:val="auto"/>
    <w:pitch w:val="variable"/>
    <w:embedRegular r:id="rIdFont12" w:fontKey="{0E0553FE-D7AE-48B2-A258-8D2FB8A7AF91}"/>
  </w:font>
  <w:font w:name="Roboto Mono">
    <w:charset w:val="00"/>
    <w:family w:val="auto"/>
    <w:pitch w:val="variable"/>
    <w:embedRegular r:id="rIdFont13" w:fontKey="{AC237527-A3B8-455F-A31C-187DEF4DEB8C}"/>
    <w:embedItalic r:id="rIdFont14" w:fontKey="{52AC6631-8778-4FE4-9F4A-F5AD3D884EBD}"/>
    <w:embedBold r:id="rIdFont15" w:fontKey="{373F4F16-C76C-4B70-89DB-2A95CBF70FA1}"/>
  </w:font>
  <w:font w:name="Roboto Mono Medium">
    <w:charset w:val="00"/>
    <w:family w:val="auto"/>
    <w:pitch w:val="variable"/>
    <w:embedRegular r:id="rIdFont16" w:fontKey="{F60D4382-0C2E-4442-B78C-5D0027EA4156}"/>
    <w:embedItalic r:id="rIdFont17" w:fontKey="{783BAB3F-D83E-477A-8A1E-A91B9B30347C}"/>
  </w:font>
  <w:font w:name="Roboto Mono SemiBold">
    <w:charset w:val="00"/>
    <w:family w:val="auto"/>
    <w:pitch w:val="variable"/>
    <w:embedRegular r:id="rIdFont18" w:fontKey="{5E100589-A6C6-4121-9A67-F432F153A54C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