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6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7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47" w:hRule="auto" w:wrap="none" w:vAnchor="page" w:hAnchor="page" w:x="9720" w:y="95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CoQ-PP_26-0</w:t>
      </w:r>
      <w:r>
        <w:rPr>
          <w:rFonts w:ascii="Orbitron" w:hAnsi="Orbitron" w:cs="Orbitron" w:eastAsia="Orbitron"/>
          <w:b/>
          <w:i w:val="0"/>
          <w:color w:val="7A5C1E"/>
          <w:kern w:val="0"/>
          <w:sz w:val="16"/>
          <w:szCs w:val="16"/>
        </w:rPr>
        <w:t>96</w:t>
      </w:r>
    </w:p>
    <w:p>
      <w:pPr>
        <w:framePr w:w="1097" w:hRule="auto" w:wrap="none" w:vAnchor="page" w:hAnchor="page" w:x="9463" w:y="130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2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916" w:hRule="auto" w:wrap="none" w:vAnchor="page" w:hAnchor="page" w:x="9452" w:y="145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 xml:space="preserve">(supersedes CoQ-PP_26-036 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of 06.06.2026)</w:t>
      </w:r>
    </w:p>
    <w:p>
      <w:pPr>
        <w:framePr w:w="1516" w:hRule="auto" w:wrap="none" w:vAnchor="page" w:hAnchor="page" w:x="576" w:y="228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P050322</w:t>
      </w:r>
    </w:p>
    <w:p>
      <w:pPr>
        <w:framePr w:w="92" w:hRule="auto" w:wrap="none" w:vAnchor="page" w:hAnchor="page" w:x="2182" w:y="237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192" w:hRule="auto" w:wrap="none" w:vAnchor="page" w:hAnchor="page" w:x="2364" w:y="228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GRA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PE PIE</w:t>
      </w:r>
    </w:p>
    <w:p>
      <w:pPr>
        <w:framePr w:w="1494" w:hRule="auto" w:wrap="none" w:vAnchor="page" w:hAnchor="page" w:x="4700" w:y="228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15.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70 %</w:t>
      </w:r>
    </w:p>
    <w:p>
      <w:pPr>
        <w:framePr w:w="984" w:hRule="auto" w:wrap="none" w:vAnchor="page" w:hAnchor="page" w:x="576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37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2937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25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3825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3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GP_THC1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6:CBD1</w:t>
      </w:r>
    </w:p>
    <w:p>
      <w:pPr>
        <w:framePr w:w="671" w:hRule="auto" w:wrap="none" w:vAnchor="page" w:hAnchor="page" w:x="4365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365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076" w:y="329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6.00%</w:t>
      </w:r>
    </w:p>
    <w:p>
      <w:pPr>
        <w:framePr w:w="625" w:hRule="auto" w:wrap="none" w:vAnchor="page" w:hAnchor="page" w:x="5721" w:y="331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.60%</w:t>
      </w:r>
    </w:p>
    <w:p>
      <w:pPr>
        <w:framePr w:w="1370" w:hRule="auto" w:wrap="none" w:vAnchor="page" w:hAnchor="page" w:x="5076" w:y="350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(14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.40 – 17.59 %)</w:t>
      </w:r>
    </w:p>
    <w:p>
      <w:pPr>
        <w:framePr w:w="1869" w:hRule="auto" w:wrap="none" w:vAnchor="page" w:hAnchor="page" w:x="7910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910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548" w:hRule="auto" w:wrap="none" w:vAnchor="page" w:hAnchor="page" w:x="9819" w:y="33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1_GP-IV_v.01</w:t>
      </w:r>
    </w:p>
    <w:p>
      <w:pPr>
        <w:framePr w:w="1435" w:hRule="auto" w:wrap="none" w:vAnchor="page" w:hAnchor="page" w:x="576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79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8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322</w:t>
      </w:r>
    </w:p>
    <w:p>
      <w:pPr>
        <w:framePr w:w="1454" w:hRule="auto" w:wrap="none" w:vAnchor="page" w:hAnchor="page" w:x="3109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109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594" w:hRule="auto" w:wrap="none" w:vAnchor="page" w:hAnchor="page" w:x="4602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1.2025</w:t>
      </w:r>
    </w:p>
    <w:p>
      <w:pPr>
        <w:framePr w:w="1208" w:hRule="auto" w:wrap="none" w:vAnchor="page" w:hAnchor="page" w:x="5455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455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702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2.2025</w:t>
      </w:r>
    </w:p>
    <w:p>
      <w:pPr>
        <w:framePr w:w="1147" w:hRule="auto" w:wrap="none" w:vAnchor="page" w:hAnchor="page" w:x="7555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7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79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391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2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6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7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58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58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58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96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1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1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0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2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3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35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4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3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3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3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5.70 %</w:t>
      </w:r>
    </w:p>
    <w:p>
      <w:pPr>
        <w:framePr w:w="115" w:hRule="auto" w:wrap="none" w:vAnchor="page" w:hAnchor="page" w:x="576" w:y="66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6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68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68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6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8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9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6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1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1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1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0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2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3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4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3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3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3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6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.88 %</w:t>
      </w:r>
    </w:p>
    <w:p>
      <w:pPr>
        <w:framePr w:w="115" w:hRule="auto" w:wrap="none" w:vAnchor="page" w:hAnchor="page" w:x="576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6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6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6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7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7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7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77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3.2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10³ CFU/g</w:t>
      </w:r>
    </w:p>
    <w:p>
      <w:pPr>
        <w:framePr w:w="40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5.8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10³ CFU/g</w:t>
      </w:r>
    </w:p>
    <w:p>
      <w:pPr>
        <w:framePr w:w="1768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263" w:hRule="auto" w:wrap="none" w:vAnchor="page" w:hAnchor="page" w:x="10179" w:y="8068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5"/>
          <w:kern w:val="0"/>
          <w:sz w:val="10"/>
          <w:szCs w:val="10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6"/>
          <w:kern w:val="0"/>
          <w:sz w:val="10"/>
          <w:szCs w:val="10"/>
        </w:rPr>
        <w:t xml:space="preserve"> 10</w:t>
      </w:r>
    </w:p>
    <w:p>
      <w:pPr>
        <w:framePr w:w="920" w:hRule="auto" w:wrap="none" w:vAnchor="page" w:hAnchor="page" w:x="10453" w:y="8068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5"/>
          <w:kern w:val="0"/>
          <w:sz w:val="10"/>
          <w:szCs w:val="10"/>
        </w:rPr>
        <w:t xml:space="preserve"> and &gt; 10³</w:t>
      </w:r>
      <w:r>
        <w:rPr>
          <w:rFonts w:ascii="Roboto Mono" w:hAnsi="Roboto Mono" w:cs="Roboto Mono" w:eastAsia="Roboto Mono"/>
          <w:b/>
          <w:i w:val="0"/>
          <w:color w:val="1B3A5C"/>
          <w:spacing w:val="-6"/>
          <w:kern w:val="0"/>
          <w:sz w:val="10"/>
          <w:szCs w:val="10"/>
        </w:rPr>
        <w:t xml:space="preserve"> CFU/g</w:t>
      </w:r>
    </w:p>
    <w:p>
      <w:pPr>
        <w:framePr w:w="832" w:hRule="auto" w:wrap="none" w:vAnchor="page" w:hAnchor="page" w:x="1182" w:y="82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2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33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4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4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4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4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6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6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6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64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88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7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9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93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3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3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3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4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4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4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4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13 mg/kg</w:t>
      </w:r>
    </w:p>
    <w:p>
      <w:pPr>
        <w:framePr w:w="976" w:hRule="auto" w:wrap="none" w:vAnchor="page" w:hAnchor="page" w:x="1182" w:y="95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6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03 mg/kg</w:t>
      </w:r>
    </w:p>
    <w:p>
      <w:pPr>
        <w:framePr w:w="97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14" w:hRule="auto" w:wrap="none" w:vAnchor="page" w:hAnchor="page" w:x="10556" w:y="97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02 mg/kg</w:t>
      </w:r>
    </w:p>
    <w:p>
      <w:pPr>
        <w:framePr w:w="97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8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16 mg/kg</w:t>
      </w:r>
    </w:p>
    <w:p>
      <w:pPr>
        <w:framePr w:w="189" w:hRule="auto" w:wrap="none" w:vAnchor="page" w:hAnchor="page" w:x="576" w:y="10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61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6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A-PP_26-099 </w:t>
      </w:r>
    </w:p>
    <w:p>
      <w:pPr>
        <w:framePr w:w="524" w:hRule="auto" w:wrap="none" w:vAnchor="page" w:hAnchor="page" w:x="10845" w:y="116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4707" w:hRule="auto" w:wrap="none" w:vAnchor="page" w:hAnchor="page" w:x="576" w:y="118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203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19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25381 </w:t>
      </w:r>
    </w:p>
    <w:p>
      <w:pPr>
        <w:framePr w:w="109" w:hRule="auto" w:wrap="none" w:vAnchor="page" w:hAnchor="page" w:x="11260" w:y="119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2"/>
          <w:szCs w:val="12"/>
        </w:rPr>
        <w:t>8</w:t>
      </w:r>
    </w:p>
    <w:p>
      <w:pPr>
        <w:framePr w:w="3855" w:hRule="auto" w:wrap="none" w:vAnchor="page" w:hAnchor="page" w:x="576" w:y="121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31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859" w:hRule="auto" w:wrap="none" w:vAnchor="page" w:hAnchor="page" w:x="6010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122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7/2193/25 </w:t>
      </w:r>
    </w:p>
    <w:p>
      <w:pPr>
        <w:framePr w:w="103" w:hRule="auto" w:wrap="none" w:vAnchor="page" w:hAnchor="page" w:x="7529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670" w:hRule="auto" w:wrap="none" w:vAnchor="page" w:hAnchor="page" w:x="7637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588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9/2025 </w:t>
      </w:r>
    </w:p>
    <w:p>
      <w:pPr>
        <w:framePr w:w="663" w:hRule="auto" w:wrap="none" w:vAnchor="page" w:hAnchor="page" w:x="10707" w:y="122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 xml:space="preserve">9, 11, 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12</w:t>
      </w:r>
    </w:p>
    <w:p>
      <w:pPr>
        <w:framePr w:w="4777" w:hRule="auto" w:wrap="none" w:vAnchor="page" w:hAnchor="page" w:x="576" w:y="1248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Farmahem DOOEL — Laboratory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for Instrumental Analysis · ISO/IEC 17025:2017</w:t>
      </w:r>
    </w:p>
    <w:p>
      <w:pPr>
        <w:framePr w:w="3145" w:hRule="auto" w:wrap="none" w:vAnchor="page" w:hAnchor="page" w:x="576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Фармахем ДООЕЛ — Лаборатoрија за инструментална анал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иза </w:t>
      </w:r>
    </w:p>
    <w:p>
      <w:pPr>
        <w:framePr w:w="147" w:hRule="auto" w:wrap="none" w:vAnchor="page" w:hAnchor="page" w:x="3711" w:y="1260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4534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813" w:hRule="auto" w:wrap="none" w:vAnchor="page" w:hAnchor="page" w:x="4606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sela Voda, 1000</w:t>
      </w:r>
    </w:p>
    <w:p>
      <w:pPr>
        <w:framePr w:w="537" w:hRule="auto" w:wrap="none" w:vAnchor="page" w:hAnchor="page" w:x="576" w:y="127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Skopje, MK</w:t>
      </w:r>
    </w:p>
    <w:p>
      <w:pPr>
        <w:framePr w:w="796" w:hRule="auto" w:wrap="none" w:vAnchor="page" w:hAnchor="page" w:x="5979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197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-12-К/26 </w:t>
      </w:r>
    </w:p>
    <w:p>
      <w:pPr>
        <w:framePr w:w="103" w:hRule="auto" w:wrap="none" w:vAnchor="page" w:hAnchor="page" w:x="7434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96" w:hRule="auto" w:wrap="none" w:vAnchor="page" w:hAnchor="page" w:x="7542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197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-12-М/26 </w:t>
      </w:r>
    </w:p>
    <w:p>
      <w:pPr>
        <w:framePr w:w="1009" w:hRule="auto" w:wrap="none" w:vAnchor="page" w:hAnchor="page" w:x="10361" w:y="12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3, 4, 5, 6, 10</w:t>
      </w:r>
    </w:p>
    <w:p>
      <w:pPr>
        <w:framePr w:w="2295" w:hRule="auto" w:wrap="none" w:vAnchor="page" w:hAnchor="page" w:x="576" w:y="1367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69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82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72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P05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0322</w:t>
      </w:r>
    </w:p>
    <w:p>
      <w:pPr>
        <w:framePr w:w="1870" w:hRule="auto" w:wrap="none" w:vAnchor="page" w:hAnchor="page" w:x="5130" w:y="1376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74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7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7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74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73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17.08.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7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7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7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31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31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31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35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6C94C42B-888C-45D6-BA43-12E61B0454FE}"/>
    <w:embedItalic r:id="rIdFont2" w:fontKey="{CFD63B8F-3CC0-4D24-BA2D-2E1DA8C9BD8B}"/>
    <w:embedBold r:id="rIdFont3" w:fontKey="{7B76F06D-6E9F-461C-B9DE-627AED5C17FD}"/>
  </w:font>
  <w:font w:name="Montserrat ExtraBold">
    <w:charset w:val="00"/>
    <w:family w:val="auto"/>
    <w:pitch w:val="variable"/>
    <w:embedRegular r:id="rIdFont4" w:fontKey="{06C4C9D8-F9BA-4BCB-B467-05E8BE5BC794}"/>
  </w:font>
  <w:font w:name="Montserrat Medium">
    <w:charset w:val="00"/>
    <w:family w:val="auto"/>
    <w:pitch w:val="variable"/>
    <w:embedRegular r:id="rIdFont5" w:fontKey="{92F21A0B-93D4-4850-B1F6-1804356AD5CA}"/>
    <w:embedItalic r:id="rIdFont6" w:fontKey="{958A75FD-F838-4686-B0B6-F80CD0E00499}"/>
  </w:font>
  <w:font w:name="Montserrat SemiBold">
    <w:charset w:val="00"/>
    <w:family w:val="auto"/>
    <w:pitch w:val="variable"/>
    <w:embedRegular r:id="rIdFont7" w:fontKey="{3A60AA2F-4EA9-4458-92A4-7E801048177D}"/>
    <w:embedItalic r:id="rIdFont8" w:fontKey="{717BA048-3C2D-40B7-A9AD-4C4945FE2EE0}"/>
  </w:font>
  <w:font w:name="Orbitron">
    <w:charset w:val="00"/>
    <w:family w:val="auto"/>
    <w:pitch w:val="variable"/>
    <w:embedBold r:id="rIdFont9" w:fontKey="{455D758F-AE66-4C53-8682-BF4E55EE6262}"/>
  </w:font>
  <w:font w:name="Orbitron Black">
    <w:charset w:val="00"/>
    <w:family w:val="auto"/>
    <w:pitch w:val="variable"/>
    <w:embedRegular r:id="rIdFont10" w:fontKey="{56E3BC52-F790-4846-91F7-4A44557730CF}"/>
  </w:font>
  <w:font w:name="Orbitron ExtraBold">
    <w:charset w:val="00"/>
    <w:family w:val="auto"/>
    <w:pitch w:val="variable"/>
    <w:embedRegular r:id="rIdFont11" w:fontKey="{440216C7-025C-457F-9C7A-8524936ECC27}"/>
  </w:font>
  <w:font w:name="Orbitron Medium">
    <w:charset w:val="00"/>
    <w:family w:val="auto"/>
    <w:pitch w:val="variable"/>
    <w:embedRegular r:id="rIdFont12" w:fontKey="{6E588625-5B5B-42FF-9BC4-463326D56449}"/>
  </w:font>
  <w:font w:name="Roboto Mono">
    <w:charset w:val="00"/>
    <w:family w:val="auto"/>
    <w:pitch w:val="variable"/>
    <w:embedRegular r:id="rIdFont13" w:fontKey="{5D806E63-A681-4AF4-9ECF-495359150BDB}"/>
    <w:embedItalic r:id="rIdFont14" w:fontKey="{3536132A-266C-4EBD-8F0B-A8A9CB2E8E96}"/>
    <w:embedBold r:id="rIdFont15" w:fontKey="{0C06323F-FE4F-46D7-9F19-E30E70D1C1EF}"/>
  </w:font>
  <w:font w:name="Roboto Mono Medium">
    <w:charset w:val="00"/>
    <w:family w:val="auto"/>
    <w:pitch w:val="variable"/>
    <w:embedRegular r:id="rIdFont16" w:fontKey="{9FF868B9-0483-41B1-B0B9-F0545CEA242B}"/>
    <w:embedItalic r:id="rIdFont17" w:fontKey="{3CA3A07F-C6B0-4F9E-B9C0-DF2EE0736AEE}"/>
  </w:font>
  <w:font w:name="Roboto Mono SemiBold">
    <w:charset w:val="00"/>
    <w:family w:val="auto"/>
    <w:pitch w:val="variable"/>
    <w:embedRegular r:id="rIdFont18" w:fontKey="{8D07BC59-ACBA-4AA1-8625-A94008790221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